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  <w:lang w:val="en-US" w:eastAsia="zh-CN"/>
        </w:rPr>
        <w:t>岗位晋级评分细则——专技</w:t>
      </w:r>
    </w:p>
    <w:tbl>
      <w:tblPr>
        <w:tblStyle w:val="4"/>
        <w:tblW w:w="149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59"/>
        <w:gridCol w:w="1922"/>
        <w:gridCol w:w="1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7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评分项项目</w:t>
            </w:r>
          </w:p>
        </w:tc>
        <w:tc>
          <w:tcPr>
            <w:tcW w:w="116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评分细则及分值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资历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任现职年限</w:t>
            </w:r>
          </w:p>
        </w:tc>
        <w:tc>
          <w:tcPr>
            <w:tcW w:w="116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以现任专业技术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为起点，任期每年计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分，每月计0.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5分 ；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2017年9月前在职人员，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因工作需要，由邵阳校区派往长沙校区的，或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2017年9月后公开招聘至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长沙校区岗位而被派往邵阳校区的，每年加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0.5分，每月加0.04分。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专业技术工作年限，每年计0.5分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因病、事假（不含法定事假）、攻读学位等原因未履行职责，按不在岗时间扣分，离岗不足1个月，按1个月扣分。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专业技术工作年限是指本人被聘为初级专业技术职务（有见习期的可计入）后的工作年限：全日制大专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全日制本科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硕士研究生考核合格后从见习期计入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非教学系统的专业技术职务均有对应的初级专业技术职务，如会计等。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原为工人身份的，则以转干的年限计起。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“专业技术间断年限”是指本人不在专业技术岗位的年限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本人所取得的最高“专业技术职务”（职称）所取得时间精确到年月。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专业技术工作年限</w:t>
            </w:r>
          </w:p>
        </w:tc>
        <w:tc>
          <w:tcPr>
            <w:tcW w:w="1165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工作业绩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工作业绩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工作业绩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工作业绩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教育教学骨干——“专业带头人”和“技术能手”称号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“专业带头人”称号：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校级计0.5分，市级计1分，省级计2分，国家级计3分。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黑体" w:hAnsi="宋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“技术能手”、“XX工匠”等称号：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市级计1分，省级计2分，国家级计5分。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以证书或发文为准，具有多重身份的只取最高档次计分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仅参加了相关培训，没有正式批文的不计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项以正式批文或证件时间为准，只参加一轮计分。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任现职内，平均工作量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满工作量的，专任教师每年计0.5分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填写本人目前“最高专业技职务”（职称）任职期间的工作量。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年320课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时计满工作量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任现职内，教学考核和综合考核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任现职内，专任教师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岗位教学质量考核A档每学期计0.1分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；年度考核“优秀”每年计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写本人目前“最高专业技职务”（职称）任职期间的年度考核结论。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度考核“优秀”包括“优秀共产党员”和“优秀党务工作者”。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专任教师岗位教学质量考核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档和年度考核“优秀”取最高分。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任现职内，班主任工作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一年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计0.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。评为学校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“班级管理先进工作者”的，每次另计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“优秀班主任”每次另计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只填写本人目前“最高专业技职务”（职称）任职期间的班主任工作。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任现职内，招生工作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兼职招生人员完成招生任务的，每年计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0.1分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。在招生工作中获得“先进工作者”、“招生功臣”、“招生能手”、“突出贡献奖”表彰的，每次分别另计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0.1分、0.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分、0.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分、0.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以学校招生总结表彰文件为依据。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因招生工作获学校年度考核优秀的不重复计分。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任现职内，教科研论文（课件、教案）评比获奖项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级1、2、3等奖分别计0.1、0.06、0.03分（只评出优秀的，按3等奖计0.03分）。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市级1、2、3等奖分别计0.3、0.2、0.1分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级1、2、3等奖分别计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、0.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、0.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级1、2、3等奖分别计3、2、1分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同一论文获多个奖项，取最高层次计分，纪念奖不计分。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必须是由政府、行政、教育部门、人社部门以及下属协会（含行业协会）组织的评奖，以文件、荣誉证书为依据。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此项累计超过6分的，计6分。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任现职内，个人荣誉称号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校、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市、省、国家级荣誉一次分别计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0.2、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0.5、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填写本人目前“最高专业技职务”（职称）任职期间的所取得的荣誉。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荣誉称号指以各级政府文件形式确认的“优秀”“十佳”“百强”“先进”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嘉奖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记功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等称号。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省政府及下属业务管理厅局级部门均属省级。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必须提供荣誉证原件作为评审依据。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任现职内，个人参加校级以上教学竞赛、专业技能竞赛、体育文艺竞赛获奖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校级1、2、3等奖分别计0.05分、0.03分、0.01分；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市级1、2、3等奖分别计0.5分、0.3分、0.2分；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省级1、2、3等奖分别计3分、2分、1分；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国家级1、2、3等奖分别计6分、4分、3分。</w:t>
            </w:r>
          </w:p>
          <w:p>
            <w:pPr>
              <w:spacing w:line="35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（职称）任职期间的竞赛所取得的成绩。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同一项目和内容获不同奖项，只取最高级别或最高标准计分。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以学院文件、各级政府文件确认和荣誉证书原件为评审依据。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竞赛后被授予的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“技术能手”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XX工匠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归至第3条计分。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竞赛结论只有名次而无等次的，1、2、3名并入一等奖，4、5、6名并入二等奖，7、8、9名并入三等奖。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.团队赛在5人以下（含5人）的，个人按标准计分；6～10人（含10人）的，个人按标准的80%计分；25人以下的，个人按标准的50%计分；25人以上（含25人）的，个人分别按标准的30%计分；主教练个人按标准计分，助理教练参照队员标准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7.确属特殊情形、未有明确规定的技能竞赛，计分标准提交专题报告审批确定。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此项单年累计超过6分的，计6分。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任现职内，指导学生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参加市级以上技能竞赛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按学生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参赛成绩计分：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市级1、2、3等奖分别计0.5、0.3、0.1分；</w:t>
            </w:r>
          </w:p>
          <w:p>
            <w:pPr>
              <w:widowControl/>
              <w:spacing w:line="350" w:lineRule="exact"/>
              <w:ind w:firstLine="3614" w:firstLineChars="15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省级1、2、3等奖分别计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widowControl/>
              <w:spacing w:line="350" w:lineRule="exact"/>
              <w:ind w:firstLine="3614" w:firstLineChars="15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国家级1、2、3等奖分别计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指导多位学生在同次竞赛获奖的，只取最高名次计分；同人同次多项只取最高等级；同批次，同人不同层次获奖的，取最高层次计分。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总教练、教练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（以文件确定为准）按标准计分，属团队指导的，理论指导教师按比赛规程相应成绩分比例计分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；领队不计分。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属团队指导的，参与教师名单以部门当年确定的文件、会议记录或奖励记录为评审依据。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学生成绩确认：既有名次又有等次的以等级为准；只有名次的，1、2、3名并入一等奖，4、5、6名并入二等奖，7、8、9名并入三等奖。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此项总累计超过6分的，计6分。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指导学生参加市级以上体育及文艺竞赛的参照计分。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任现职内，主持或参与校级及以上课题或项目研究建设（已结题）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主持的，校级计0.5分，市级计1分，省级（和国家行业级）每项计3分，国家级计6分；其他人员根据分工责任大小，分别按1/2、1/3、1/4、1/5标准计分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协会、学会级别的，降一级计分。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没有正式结题的课题不计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参与人身份以正式文件的确认为准，同一内容的被不同层次确认的只取最高档次计分。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此项单年累计超过6分的，计6分。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任现职内，主持或参与编写教材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主编教材，已经公开出版的国家规划教材，每本计3分，其他教材计2分，校本教材计1分。副主编（主审）按上述标准的二分之一计分；参与人按上述标准的三分之一计分。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参与人身份以正式文件确认（或教材明确）的名单为准。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同一内容，只取最高档次计分。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任现职内，在市级以上刊物发表学术论文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SCI刊物每篇计3分，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核心刊物每篇计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分，普通刊物每篇计0.2分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省市级《教学方案》《教师培训考核标准》《等级工考核大纲》以文件为确定唯一依据。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核心刊物和非核心刊物界定，以最新国家期刊目录为准。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交流论文按同层次计分，主参编省市级《教学方案》《等级工考核大纲》等按同级论文计分。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此项累计超过6分的，计6分。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任现职内出版专著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出版专著，经校学术委员会确认的，每部计12分（合著计6分；合编著作中，作为第二作者之后出现的，按1/3标准计分，参编人按1/5标准计分）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此项单年累计超过12分的，计12分。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此项总累计超过24分的，计24分。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成立工作室等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成立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技能大师工作室、名班主任工作室、课程思政示范工作室、教学创新团队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50" w:lineRule="exact"/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市级计0.5分；</w:t>
            </w:r>
          </w:p>
          <w:p>
            <w:pPr>
              <w:widowControl/>
              <w:spacing w:line="350" w:lineRule="exact"/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省级计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国家级计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2.主持人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按标准计分，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按标准的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0%计分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同一内容的被不同层次确认的只取最高档次计分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此项最高不超过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任现职内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获得专利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获国家发明专利计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分；获实用新型及外观设计专利、软件著作权计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此项最高不超过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59" w:type="dxa"/>
            <w:tcBorders>
              <w:left w:val="single" w:color="auto" w:sz="12" w:space="0"/>
              <w:bottom w:val="single" w:color="000000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000000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其他加分项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主持或参与学校文件规定的重大项目建设</w:t>
            </w:r>
          </w:p>
          <w:p>
            <w:pPr>
              <w:widowControl/>
              <w:spacing w:line="350" w:lineRule="exact"/>
              <w:ind w:firstLine="482" w:firstLineChars="200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校级计0.05分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50" w:lineRule="exact"/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市级计0.5分；</w:t>
            </w:r>
          </w:p>
          <w:p>
            <w:pPr>
              <w:widowControl/>
              <w:spacing w:line="350" w:lineRule="exact"/>
              <w:ind w:firstLine="482" w:firstLineChars="200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省级计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国家级计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2.主持人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按标准计分，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按标准的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0%计分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同一内容的被不同层次确认的只取最高档次计分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此项最高不超过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以学校党委会、校长办公会确认为准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说明：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1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以现任专业技术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岗位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为起点，起止时间精确到月。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同一项目不能重复填写，否则以零分计。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3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所有项目均不重复加分，同一内容有多项加分时，以最高项计分。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所有项目均须提供支撑材料（证书原件、文件或会议记录）。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个</w:t>
      </w:r>
      <w:r>
        <w:rPr>
          <w:rFonts w:hint="eastAsia" w:ascii="黑体" w:hAnsi="宋体" w:eastAsia="黑体" w:cs="宋体"/>
          <w:color w:val="auto"/>
          <w:kern w:val="0"/>
          <w:szCs w:val="21"/>
        </w:rPr>
        <w:t>人填写数据审批程序：各部门岗位晋级聘用小组初审，“学校专业技术人员岗位晋级聘用工作领导小组” 复审。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6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经审核后各类人员所填报的信息将在校园网公开，供全员监督举报，一经查实，作假项目以零分计。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7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各项计分标准有歧义的，以学校职称评审委员会确认的为准。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8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.在有岗位空缺的前提下，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学校原则上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每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三年启动新一轮岗位晋级工作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。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学校启动新一轮岗位晋级时，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学校将会提前6个月公布新一轮岗位晋级通知，提前3个月做好计分摸底工作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在正式启动岗位晋级前，即将退休的同志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  <w:lang w:val="en-US" w:eastAsia="zh-CN"/>
        </w:rPr>
        <w:t>符合晋升条件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且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在同系列同级别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的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岗位评分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位于岗位职数之内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，在不影响当年正常晋级的情况下，经党委专题研究并报上级主管批准后，可以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办理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优先晋级</w:t>
      </w: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聘用手续</w:t>
      </w:r>
      <w:r>
        <w:rPr>
          <w:rFonts w:hint="eastAsia" w:ascii="Times New Roman" w:hAnsi="Times New Roman" w:eastAsia="黑体" w:cs="Times New Roman"/>
          <w:color w:val="auto"/>
          <w:kern w:val="0"/>
          <w:szCs w:val="21"/>
          <w:lang w:val="en-US" w:eastAsia="zh-CN"/>
        </w:rPr>
        <w:t>（若多人晋级同1个岗位，则按照评分优先晋级）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  <w:lang w:val="en-US" w:eastAsia="zh-CN"/>
        </w:rPr>
        <w:t>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本标准所有项目由学校职称评审委员会负责解释。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36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wNTQzNGY3MTc0MmZkMDI1MzYyNmM2NDU1OTAxMDUifQ=="/>
  </w:docVars>
  <w:rsids>
    <w:rsidRoot w:val="00BF24D1"/>
    <w:rsid w:val="00001E42"/>
    <w:rsid w:val="00040596"/>
    <w:rsid w:val="000A08EC"/>
    <w:rsid w:val="000B0CCF"/>
    <w:rsid w:val="000B1EF5"/>
    <w:rsid w:val="001702C9"/>
    <w:rsid w:val="00173B56"/>
    <w:rsid w:val="0017524F"/>
    <w:rsid w:val="00197653"/>
    <w:rsid w:val="001B3D34"/>
    <w:rsid w:val="001E1AD8"/>
    <w:rsid w:val="001F0D1E"/>
    <w:rsid w:val="00243A85"/>
    <w:rsid w:val="00282D1B"/>
    <w:rsid w:val="002D1D2C"/>
    <w:rsid w:val="002F4FB6"/>
    <w:rsid w:val="00330687"/>
    <w:rsid w:val="00362FEB"/>
    <w:rsid w:val="00372839"/>
    <w:rsid w:val="003C025C"/>
    <w:rsid w:val="003D4CAA"/>
    <w:rsid w:val="003E6E1C"/>
    <w:rsid w:val="003F48F8"/>
    <w:rsid w:val="00463DA2"/>
    <w:rsid w:val="00470A18"/>
    <w:rsid w:val="00471D3E"/>
    <w:rsid w:val="00510A95"/>
    <w:rsid w:val="005307D9"/>
    <w:rsid w:val="005857D3"/>
    <w:rsid w:val="005C4104"/>
    <w:rsid w:val="006258D3"/>
    <w:rsid w:val="00630381"/>
    <w:rsid w:val="006344C2"/>
    <w:rsid w:val="006B42A3"/>
    <w:rsid w:val="006B61F4"/>
    <w:rsid w:val="006D5BA6"/>
    <w:rsid w:val="006F52EC"/>
    <w:rsid w:val="007044A0"/>
    <w:rsid w:val="00724D89"/>
    <w:rsid w:val="008136D9"/>
    <w:rsid w:val="00814C7A"/>
    <w:rsid w:val="00820599"/>
    <w:rsid w:val="00880918"/>
    <w:rsid w:val="0089327B"/>
    <w:rsid w:val="00896514"/>
    <w:rsid w:val="008A239D"/>
    <w:rsid w:val="008B0B18"/>
    <w:rsid w:val="00911D2D"/>
    <w:rsid w:val="0092622D"/>
    <w:rsid w:val="00967D8D"/>
    <w:rsid w:val="009A7C6C"/>
    <w:rsid w:val="009B28C7"/>
    <w:rsid w:val="009B7E1A"/>
    <w:rsid w:val="009C40AA"/>
    <w:rsid w:val="009C6217"/>
    <w:rsid w:val="009D3C64"/>
    <w:rsid w:val="009E725F"/>
    <w:rsid w:val="009F4C15"/>
    <w:rsid w:val="00A0712B"/>
    <w:rsid w:val="00A35B8D"/>
    <w:rsid w:val="00A409DB"/>
    <w:rsid w:val="00A51E93"/>
    <w:rsid w:val="00A74409"/>
    <w:rsid w:val="00A75EA0"/>
    <w:rsid w:val="00A80F19"/>
    <w:rsid w:val="00A93399"/>
    <w:rsid w:val="00AA3567"/>
    <w:rsid w:val="00B13554"/>
    <w:rsid w:val="00B14315"/>
    <w:rsid w:val="00B770FC"/>
    <w:rsid w:val="00B93698"/>
    <w:rsid w:val="00BA500B"/>
    <w:rsid w:val="00BB3BBC"/>
    <w:rsid w:val="00BE4CFD"/>
    <w:rsid w:val="00BF24D1"/>
    <w:rsid w:val="00C44816"/>
    <w:rsid w:val="00C52B2B"/>
    <w:rsid w:val="00C74763"/>
    <w:rsid w:val="00C758E9"/>
    <w:rsid w:val="00CB7792"/>
    <w:rsid w:val="00CD6253"/>
    <w:rsid w:val="00D02201"/>
    <w:rsid w:val="00D47FB3"/>
    <w:rsid w:val="00D6337D"/>
    <w:rsid w:val="00DB7909"/>
    <w:rsid w:val="00DE3261"/>
    <w:rsid w:val="00DF5D28"/>
    <w:rsid w:val="00E07F3A"/>
    <w:rsid w:val="00E1286D"/>
    <w:rsid w:val="00E30CFE"/>
    <w:rsid w:val="00E3604F"/>
    <w:rsid w:val="00E719A4"/>
    <w:rsid w:val="00EE2710"/>
    <w:rsid w:val="00F11AEC"/>
    <w:rsid w:val="00F43C6A"/>
    <w:rsid w:val="00F729A2"/>
    <w:rsid w:val="00F90EE3"/>
    <w:rsid w:val="00F94ABF"/>
    <w:rsid w:val="00FB4D46"/>
    <w:rsid w:val="01633E9B"/>
    <w:rsid w:val="027F2CA3"/>
    <w:rsid w:val="03084794"/>
    <w:rsid w:val="049A249A"/>
    <w:rsid w:val="086A5B0F"/>
    <w:rsid w:val="097310FD"/>
    <w:rsid w:val="09F83E95"/>
    <w:rsid w:val="0AA4210C"/>
    <w:rsid w:val="0BE33231"/>
    <w:rsid w:val="0C2D70F9"/>
    <w:rsid w:val="0CBF2A3C"/>
    <w:rsid w:val="0D2569D0"/>
    <w:rsid w:val="12D1335A"/>
    <w:rsid w:val="13DA623E"/>
    <w:rsid w:val="14333BA0"/>
    <w:rsid w:val="15F335E7"/>
    <w:rsid w:val="169C5A2D"/>
    <w:rsid w:val="173524ED"/>
    <w:rsid w:val="1758293B"/>
    <w:rsid w:val="178B19B6"/>
    <w:rsid w:val="17F83BC9"/>
    <w:rsid w:val="18305BEE"/>
    <w:rsid w:val="189949AA"/>
    <w:rsid w:val="19FF51A7"/>
    <w:rsid w:val="1A6070A1"/>
    <w:rsid w:val="1A772A39"/>
    <w:rsid w:val="1B214753"/>
    <w:rsid w:val="1E14059F"/>
    <w:rsid w:val="1E2E5632"/>
    <w:rsid w:val="1EED20FA"/>
    <w:rsid w:val="1FCB2EDF"/>
    <w:rsid w:val="1FF21508"/>
    <w:rsid w:val="25401C79"/>
    <w:rsid w:val="25B74E88"/>
    <w:rsid w:val="264C7CD6"/>
    <w:rsid w:val="26670017"/>
    <w:rsid w:val="27EB7149"/>
    <w:rsid w:val="286B34B1"/>
    <w:rsid w:val="2921216B"/>
    <w:rsid w:val="299D779B"/>
    <w:rsid w:val="2B8C79C6"/>
    <w:rsid w:val="2CB119DD"/>
    <w:rsid w:val="2D4E6407"/>
    <w:rsid w:val="2E70226B"/>
    <w:rsid w:val="2EC97183"/>
    <w:rsid w:val="2F49532C"/>
    <w:rsid w:val="311F749A"/>
    <w:rsid w:val="31BB7449"/>
    <w:rsid w:val="3249661C"/>
    <w:rsid w:val="32B302BA"/>
    <w:rsid w:val="33DE722D"/>
    <w:rsid w:val="34815FEA"/>
    <w:rsid w:val="3556466A"/>
    <w:rsid w:val="35AB75E3"/>
    <w:rsid w:val="38DA0E97"/>
    <w:rsid w:val="3A28785C"/>
    <w:rsid w:val="3ABC45F3"/>
    <w:rsid w:val="41F55CAC"/>
    <w:rsid w:val="43053B17"/>
    <w:rsid w:val="4394272B"/>
    <w:rsid w:val="44130C31"/>
    <w:rsid w:val="44753A38"/>
    <w:rsid w:val="44F61A5C"/>
    <w:rsid w:val="45DB44E8"/>
    <w:rsid w:val="4B46537F"/>
    <w:rsid w:val="4C1172D9"/>
    <w:rsid w:val="4CE8689F"/>
    <w:rsid w:val="4D924EB8"/>
    <w:rsid w:val="4DAE5A6A"/>
    <w:rsid w:val="4DC1754C"/>
    <w:rsid w:val="51F77204"/>
    <w:rsid w:val="528642B9"/>
    <w:rsid w:val="53764934"/>
    <w:rsid w:val="53AD3873"/>
    <w:rsid w:val="53D560D3"/>
    <w:rsid w:val="55630EE8"/>
    <w:rsid w:val="5674017B"/>
    <w:rsid w:val="56A215FF"/>
    <w:rsid w:val="5BB92A97"/>
    <w:rsid w:val="5C581CE2"/>
    <w:rsid w:val="5D015BB7"/>
    <w:rsid w:val="5D1902C6"/>
    <w:rsid w:val="5EA05A1B"/>
    <w:rsid w:val="5EC479CF"/>
    <w:rsid w:val="61B04F6E"/>
    <w:rsid w:val="6240065E"/>
    <w:rsid w:val="62441475"/>
    <w:rsid w:val="63172BED"/>
    <w:rsid w:val="63F96D65"/>
    <w:rsid w:val="6C272818"/>
    <w:rsid w:val="6D753E00"/>
    <w:rsid w:val="6DDF2EBF"/>
    <w:rsid w:val="6E076DA5"/>
    <w:rsid w:val="6F1057E5"/>
    <w:rsid w:val="6F23709D"/>
    <w:rsid w:val="702D0EF9"/>
    <w:rsid w:val="707E3AAA"/>
    <w:rsid w:val="723B231F"/>
    <w:rsid w:val="73400305"/>
    <w:rsid w:val="778D2752"/>
    <w:rsid w:val="78A11836"/>
    <w:rsid w:val="7C0B5CB2"/>
    <w:rsid w:val="7D3B79D2"/>
    <w:rsid w:val="7DA2786C"/>
    <w:rsid w:val="7DB3215D"/>
    <w:rsid w:val="7E5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4159</Words>
  <Characters>4407</Characters>
  <Lines>27</Lines>
  <Paragraphs>7</Paragraphs>
  <TotalTime>0</TotalTime>
  <ScaleCrop>false</ScaleCrop>
  <LinksUpToDate>false</LinksUpToDate>
  <CharactersWithSpaces>4409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2018-07-25T03:01:00Z</dcterms:created>
  <dc:creator>Administrator</dc:creator>
  <cp:lastModifiedBy>爱笑的男孩</cp:lastModifiedBy>
  <cp:lastPrinted>2018-11-06T01:10:00Z</cp:lastPrinted>
  <dcterms:modified xsi:type="dcterms:W3CDTF">2024-01-11T09:18:02Z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D8041F70D783469CA7BA35005D53DD4D</vt:lpwstr>
  </property>
</Properties>
</file>