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sz w:val="84"/>
          <w:szCs w:val="84"/>
        </w:rPr>
      </w:pPr>
      <w:r>
        <w:rPr>
          <w:rFonts w:hint="eastAsia"/>
          <w:sz w:val="84"/>
          <w:szCs w:val="84"/>
        </w:rPr>
        <w:t>2020年度</w:t>
      </w:r>
      <w:r>
        <w:rPr>
          <w:rFonts w:hint="eastAsia"/>
          <w:sz w:val="84"/>
          <w:szCs w:val="84"/>
          <w:lang w:eastAsia="zh-CN"/>
        </w:rPr>
        <w:t>湖南省汽车技师学院</w:t>
      </w:r>
      <w:r>
        <w:rPr>
          <w:rFonts w:hint="eastAsia"/>
          <w:sz w:val="84"/>
          <w:szCs w:val="84"/>
        </w:rPr>
        <w:t>部门决算</w:t>
      </w:r>
    </w:p>
    <w:p>
      <w:pPr>
        <w:pStyle w:val="14"/>
        <w:spacing w:line="500" w:lineRule="exact"/>
        <w:ind w:firstLine="723" w:firstLineChars="200"/>
        <w:jc w:val="center"/>
        <w:rPr>
          <w:rFonts w:hint="eastAsia"/>
          <w:b/>
          <w:sz w:val="36"/>
          <w:szCs w:val="28"/>
        </w:rPr>
      </w:pPr>
    </w:p>
    <w:p>
      <w:pPr>
        <w:pStyle w:val="14"/>
        <w:spacing w:line="500" w:lineRule="exact"/>
        <w:ind w:firstLine="4698" w:firstLineChars="1300"/>
        <w:jc w:val="both"/>
        <w:rPr>
          <w:b/>
          <w:sz w:val="36"/>
          <w:szCs w:val="28"/>
        </w:rPr>
      </w:pPr>
      <w:r>
        <w:rPr>
          <w:rFonts w:hint="eastAsia"/>
          <w:b/>
          <w:sz w:val="36"/>
          <w:szCs w:val="28"/>
        </w:rPr>
        <w:t>目录</w:t>
      </w:r>
    </w:p>
    <w:p>
      <w:pPr>
        <w:pStyle w:val="14"/>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eastAsia="zh-CN"/>
        </w:rPr>
        <w:t>湖南省汽车技师学院</w:t>
      </w:r>
      <w:r>
        <w:rPr>
          <w:rFonts w:hint="eastAsia"/>
          <w:b/>
          <w:sz w:val="28"/>
          <w:szCs w:val="28"/>
        </w:rPr>
        <w:t>概况</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4"/>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4"/>
        <w:spacing w:line="50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4"/>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560" w:firstLineChars="20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4"/>
        <w:spacing w:line="500" w:lineRule="exact"/>
        <w:ind w:firstLine="560" w:firstLineChars="20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4"/>
        <w:spacing w:line="500" w:lineRule="exact"/>
        <w:ind w:firstLine="560" w:firstLineChars="20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2880" w:firstLineChars="400"/>
        <w:jc w:val="both"/>
        <w:rPr>
          <w:rFonts w:hint="eastAsia" w:ascii="宋体" w:hAnsi="宋体" w:eastAsia="宋体" w:cs="宋体"/>
          <w:sz w:val="72"/>
          <w:szCs w:val="72"/>
        </w:rPr>
      </w:pPr>
    </w:p>
    <w:p>
      <w:pPr>
        <w:pStyle w:val="14"/>
        <w:jc w:val="center"/>
        <w:rPr>
          <w:rFonts w:hint="eastAsia" w:ascii="宋体" w:hAnsi="宋体" w:eastAsia="宋体" w:cs="宋体"/>
          <w:sz w:val="72"/>
          <w:szCs w:val="72"/>
        </w:rPr>
      </w:pPr>
      <w:r>
        <w:rPr>
          <w:rFonts w:hint="eastAsia" w:ascii="宋体" w:hAnsi="宋体" w:eastAsia="宋体" w:cs="宋体"/>
          <w:sz w:val="72"/>
          <w:szCs w:val="72"/>
        </w:rPr>
        <w:t>第一部分</w:t>
      </w:r>
    </w:p>
    <w:p>
      <w:pPr>
        <w:pStyle w:val="14"/>
        <w:jc w:val="center"/>
        <w:rPr>
          <w:rFonts w:hint="eastAsia" w:ascii="宋体" w:hAnsi="宋体" w:eastAsia="宋体" w:cs="宋体"/>
          <w:sz w:val="72"/>
          <w:szCs w:val="72"/>
        </w:rPr>
      </w:pPr>
      <w:r>
        <w:rPr>
          <w:rFonts w:hint="eastAsia" w:ascii="宋体" w:hAnsi="宋体" w:eastAsia="宋体" w:cs="宋体"/>
          <w:sz w:val="72"/>
          <w:szCs w:val="72"/>
        </w:rPr>
        <w:t>单位概况</w:t>
      </w:r>
    </w:p>
    <w:p>
      <w:pPr>
        <w:pStyle w:val="15"/>
        <w:numPr>
          <w:ilvl w:val="0"/>
          <w:numId w:val="0"/>
        </w:numPr>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培养中、高级技术人才。</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提高社会职业素质，从事机械技术工人培训及相关技能培训。</w:t>
      </w:r>
    </w:p>
    <w:p>
      <w:pPr>
        <w:ind w:firstLine="640" w:firstLineChars="200"/>
        <w:jc w:val="left"/>
        <w:rPr>
          <w:rFonts w:asciiTheme="minorEastAsia" w:hAnsiTheme="minorEastAsia"/>
          <w:sz w:val="32"/>
          <w:szCs w:val="32"/>
        </w:rPr>
      </w:pPr>
      <w:r>
        <w:rPr>
          <w:rFonts w:hint="eastAsia" w:asciiTheme="minorEastAsia" w:hAnsiTheme="minorEastAsia"/>
          <w:sz w:val="32"/>
          <w:szCs w:val="32"/>
        </w:rPr>
        <w:t>学院坐落在邵阳市宝庆东路158号，现占地151.35亩，建筑面积11.25万平方米，总资产1</w:t>
      </w:r>
      <w:r>
        <w:rPr>
          <w:rFonts w:hint="eastAsia" w:asciiTheme="minorEastAsia" w:hAnsiTheme="minorEastAsia"/>
          <w:sz w:val="32"/>
          <w:szCs w:val="32"/>
          <w:lang w:val="en-US" w:eastAsia="zh-CN"/>
        </w:rPr>
        <w:t>.1</w:t>
      </w:r>
      <w:r>
        <w:rPr>
          <w:rFonts w:hint="eastAsia" w:asciiTheme="minorEastAsia" w:hAnsiTheme="minorEastAsia"/>
          <w:sz w:val="32"/>
          <w:szCs w:val="32"/>
        </w:rPr>
        <w:t>亿余元，实训教学设备原值4000多万元。设有长沙校区和智能制造、电气、经管、汽车4个系，学制教育在校学生6500</w:t>
      </w:r>
      <w:r>
        <w:rPr>
          <w:rFonts w:hint="eastAsia" w:asciiTheme="minorEastAsia" w:hAnsiTheme="minorEastAsia"/>
          <w:sz w:val="32"/>
          <w:szCs w:val="32"/>
          <w:lang w:val="en-US" w:eastAsia="zh-CN"/>
        </w:rPr>
        <w:t>余</w:t>
      </w:r>
      <w:r>
        <w:rPr>
          <w:rFonts w:hint="eastAsia" w:asciiTheme="minorEastAsia" w:hAnsiTheme="minorEastAsia"/>
          <w:sz w:val="32"/>
          <w:szCs w:val="32"/>
        </w:rPr>
        <w:t>名。建立了以汽车检测与维修、汽车装配与调试、汽车电气与信息化技术、模具制造与设计、数控加工与维修为龙头，车、钳、电、焊、商贸和管理事务类专业为基础的专业设置新格局，开设了基本覆盖汽车产业链所需的1</w:t>
      </w:r>
      <w:r>
        <w:rPr>
          <w:rFonts w:hint="eastAsia" w:asciiTheme="minorEastAsia" w:hAnsiTheme="minorEastAsia"/>
          <w:sz w:val="32"/>
          <w:szCs w:val="32"/>
          <w:lang w:val="en-US" w:eastAsia="zh-CN"/>
        </w:rPr>
        <w:t>8</w:t>
      </w:r>
      <w:r>
        <w:rPr>
          <w:rFonts w:hint="eastAsia" w:asciiTheme="minorEastAsia" w:hAnsiTheme="minorEastAsia"/>
          <w:sz w:val="32"/>
          <w:szCs w:val="32"/>
        </w:rPr>
        <w:t>个专业工种，建有汽车检测与维修、汽车电气与信息化技术、模具技术、钳工、焊接技术、数控加工、车工技术、自动化技术、模具拆装测绘、电子技术等30个实训中心（室）。</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湖南省汽车技师学院内</w:t>
      </w:r>
      <w:r>
        <w:rPr>
          <w:rFonts w:hint="eastAsia" w:asciiTheme="minorEastAsia" w:hAnsiTheme="minorEastAsia"/>
          <w:bCs/>
          <w:kern w:val="0"/>
          <w:sz w:val="32"/>
          <w:szCs w:val="32"/>
        </w:rPr>
        <w:t>设机构包括</w:t>
      </w:r>
      <w:r>
        <w:rPr>
          <w:rFonts w:hint="eastAsia" w:asciiTheme="minorEastAsia" w:hAnsiTheme="minorEastAsia"/>
          <w:bCs/>
          <w:kern w:val="0"/>
          <w:sz w:val="32"/>
          <w:szCs w:val="32"/>
          <w:lang w:eastAsia="zh-CN"/>
        </w:rPr>
        <w:t>：办公室、工会、党群工作部、财务处、纪检监察室、督导室、教务处、后勤处、招生办、就业培训处、学工部、新校区建设办公室、汽车大厦推进办、汽车工程系、电气工程系、智能制造系、经管系、长沙校区。</w:t>
      </w:r>
    </w:p>
    <w:p>
      <w:pPr>
        <w:widowControl/>
        <w:numPr>
          <w:ilvl w:val="0"/>
          <w:numId w:val="1"/>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湖南省汽车技师学院</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eastAsia="zh-CN"/>
        </w:rPr>
        <w:t>湖南省汽车技师学院本级。</w:t>
      </w:r>
    </w:p>
    <w:p>
      <w:pPr>
        <w:jc w:val="center"/>
        <w:rPr>
          <w:rFonts w:hint="eastAsia"/>
          <w:sz w:val="72"/>
          <w:szCs w:val="72"/>
        </w:rPr>
      </w:pPr>
      <w:r>
        <w:rPr>
          <w:rFonts w:hint="eastAsia"/>
          <w:sz w:val="72"/>
          <w:szCs w:val="72"/>
        </w:rPr>
        <w:t>第二部分</w:t>
      </w:r>
    </w:p>
    <w:p>
      <w:pPr>
        <w:jc w:val="center"/>
        <w:rPr>
          <w:sz w:val="72"/>
          <w:szCs w:val="72"/>
        </w:rPr>
      </w:pPr>
      <w:r>
        <w:rPr>
          <w:rFonts w:hint="eastAsia"/>
          <w:sz w:val="72"/>
          <w:szCs w:val="72"/>
        </w:rPr>
        <w:t>部门决算表</w:t>
      </w:r>
    </w:p>
    <w:p>
      <w:pPr>
        <w:jc w:val="center"/>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9"/>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ind w:firstLine="5440" w:firstLineChars="1700"/>
              <w:jc w:val="both"/>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湖南省汽车技师学院</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6364.1</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1219.44</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6885.67</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7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hint="eastAsia" w:ascii="宋体" w:hAnsi="宋体" w:eastAsia="宋体" w:cs="宋体"/>
                <w:kern w:val="0"/>
                <w:sz w:val="22"/>
                <w:szCs w:val="22"/>
              </w:rPr>
            </w:pPr>
            <w:r>
              <w:rPr>
                <w:rFonts w:hint="eastAsia" w:ascii="宋体" w:hAnsi="宋体" w:eastAsia="宋体" w:cs="宋体"/>
                <w:kern w:val="0"/>
                <w:sz w:val="22"/>
                <w:szCs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szCs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七、问号旅游体育与传媒支出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szCs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八、社会保障就业支出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579.02</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240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2"/>
              </w:numPr>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bCs/>
                <w:kern w:val="0"/>
                <w:sz w:val="22"/>
                <w:szCs w:val="22"/>
                <w:lang w:val="en-US" w:eastAsia="zh-CN"/>
              </w:rPr>
            </w:pPr>
            <w:r>
              <w:rPr>
                <w:rFonts w:hint="eastAsia" w:ascii="宋体" w:hAnsi="宋体" w:eastAsia="宋体" w:cs="宋体"/>
                <w:b w:val="0"/>
                <w:bCs w:val="0"/>
                <w:i w:val="0"/>
                <w:i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lang w:val="en-US" w:eastAsia="zh-CN"/>
              </w:rPr>
            </w:pPr>
            <w:r>
              <w:rPr>
                <w:rFonts w:hint="eastAsia" w:ascii="宋体" w:hAnsi="宋体" w:eastAsia="宋体" w:cs="宋体"/>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十五、商业服务支出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十八、自然资源海洋气象支出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210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eastAsia="zh-CN"/>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7914.69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277.02</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99.44</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1195.74</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1042.17</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9056.3</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9056.3</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9"/>
        <w:tblW w:w="13900" w:type="dxa"/>
        <w:tblInd w:w="0" w:type="dxa"/>
        <w:tblLayout w:type="autofit"/>
        <w:tblCellMar>
          <w:top w:w="0" w:type="dxa"/>
          <w:left w:w="0" w:type="dxa"/>
          <w:bottom w:w="0" w:type="dxa"/>
          <w:right w:w="0" w:type="dxa"/>
        </w:tblCellMar>
      </w:tblPr>
      <w:tblGrid>
        <w:gridCol w:w="406"/>
        <w:gridCol w:w="370"/>
        <w:gridCol w:w="3390"/>
        <w:gridCol w:w="1640"/>
        <w:gridCol w:w="1640"/>
        <w:gridCol w:w="1293"/>
        <w:gridCol w:w="1640"/>
        <w:gridCol w:w="1293"/>
        <w:gridCol w:w="1293"/>
        <w:gridCol w:w="1640"/>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ascii="宋体" w:hAnsi="宋体" w:eastAsia="宋体" w:cs="宋体"/>
                <w:color w:val="000000"/>
                <w:kern w:val="0"/>
                <w:sz w:val="20"/>
                <w:szCs w:val="20"/>
                <w:lang w:eastAsia="zh-CN"/>
              </w:rPr>
              <w:t>湖南省汽车技师学院</w:t>
            </w:r>
            <w:r>
              <w:rPr>
                <w:rFonts w:ascii="宋体" w:hAnsi="宋体" w:eastAsia="宋体" w:cs="宋体"/>
                <w:color w:val="000000"/>
                <w:kern w:val="0"/>
                <w:sz w:val="20"/>
                <w:szCs w:val="20"/>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7583.54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6364.1</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1219.44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2050302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中等职业教育</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2184.72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2184.72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2050303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技校教育</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4369.8</w:t>
            </w:r>
            <w:r>
              <w:rPr>
                <w:rFonts w:hint="eastAsia" w:ascii="华文中宋" w:hAnsi="华文中宋" w:eastAsia="华文中宋"/>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3150.36</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1219.44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350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350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2080701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就业创业服务补贴</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2080702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职业培训补贴</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221.92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221.</w:t>
            </w:r>
            <w:bookmarkStart w:id="3" w:name="_GoBack"/>
            <w:bookmarkEnd w:id="3"/>
            <w:r>
              <w:rPr>
                <w:rFonts w:hint="eastAsia"/>
                <w:lang w:val="en-US" w:eastAsia="zh-CN"/>
              </w:rPr>
              <w:t>92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2210201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住房公积金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9"/>
        <w:tblW w:w="15521" w:type="dxa"/>
        <w:tblInd w:w="93" w:type="dxa"/>
        <w:tblLayout w:type="fixed"/>
        <w:tblCellMar>
          <w:top w:w="0" w:type="dxa"/>
          <w:left w:w="108" w:type="dxa"/>
          <w:bottom w:w="0" w:type="dxa"/>
          <w:right w:w="108" w:type="dxa"/>
        </w:tblCellMar>
      </w:tblPr>
      <w:tblGrid>
        <w:gridCol w:w="1042"/>
        <w:gridCol w:w="222"/>
        <w:gridCol w:w="1988"/>
        <w:gridCol w:w="343"/>
        <w:gridCol w:w="436"/>
        <w:gridCol w:w="706"/>
        <w:gridCol w:w="372"/>
        <w:gridCol w:w="496"/>
        <w:gridCol w:w="527"/>
        <w:gridCol w:w="1385"/>
        <w:gridCol w:w="1003"/>
        <w:gridCol w:w="632"/>
        <w:gridCol w:w="44"/>
        <w:gridCol w:w="391"/>
        <w:gridCol w:w="1288"/>
        <w:gridCol w:w="285"/>
        <w:gridCol w:w="1394"/>
        <w:gridCol w:w="1394"/>
        <w:gridCol w:w="404"/>
        <w:gridCol w:w="1169"/>
      </w:tblGrid>
      <w:tr>
        <w:tblPrEx>
          <w:tblCellMar>
            <w:top w:w="0" w:type="dxa"/>
            <w:left w:w="108" w:type="dxa"/>
            <w:bottom w:w="0" w:type="dxa"/>
            <w:right w:w="108" w:type="dxa"/>
          </w:tblCellMar>
        </w:tblPrEx>
        <w:trPr>
          <w:gridAfter w:val="1"/>
          <w:wAfter w:w="1169" w:type="dxa"/>
          <w:trHeight w:val="435" w:hRule="atLeast"/>
        </w:trPr>
        <w:tc>
          <w:tcPr>
            <w:tcW w:w="14352"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1169" w:type="dxa"/>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9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48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8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3477"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1169" w:type="dxa"/>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988" w:type="dxa"/>
            <w:tcBorders>
              <w:top w:val="nil"/>
              <w:left w:val="nil"/>
              <w:bottom w:val="nil"/>
              <w:right w:val="nil"/>
            </w:tcBorders>
            <w:shd w:val="clear" w:color="000000" w:fill="FFFFFF"/>
            <w:noWrap/>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18"/>
                <w:szCs w:val="18"/>
                <w:lang w:eastAsia="zh-CN"/>
              </w:rPr>
              <w:t>湖南省汽车技师学院</w:t>
            </w:r>
          </w:p>
        </w:tc>
        <w:tc>
          <w:tcPr>
            <w:tcW w:w="148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8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3477"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169" w:type="dxa"/>
          <w:trHeight w:val="450" w:hRule="atLeast"/>
        </w:trPr>
        <w:tc>
          <w:tcPr>
            <w:tcW w:w="32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8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9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3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3477"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1169" w:type="dxa"/>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98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47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169" w:type="dxa"/>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47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169" w:type="dxa"/>
          <w:trHeight w:val="450" w:hRule="atLeast"/>
        </w:trPr>
        <w:tc>
          <w:tcPr>
            <w:tcW w:w="32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8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9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8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47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
          <w:wAfter w:w="1169" w:type="dxa"/>
          <w:trHeight w:val="450" w:hRule="atLeast"/>
        </w:trPr>
        <w:tc>
          <w:tcPr>
            <w:tcW w:w="32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7914.69</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4987.21</w:t>
            </w:r>
            <w:r>
              <w:rPr>
                <w:rFonts w:hint="eastAsia" w:ascii="宋体" w:hAnsi="宋体" w:eastAsia="宋体" w:cs="宋体"/>
                <w:kern w:val="0"/>
                <w:sz w:val="24"/>
                <w:szCs w:val="24"/>
              </w:rPr>
              <w:t>　</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2927.48</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2050302</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中等职业教育</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2463.87</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1408.65</w:t>
            </w:r>
            <w:r>
              <w:rPr>
                <w:rFonts w:hint="eastAsia" w:ascii="宋体" w:hAnsi="宋体" w:eastAsia="宋体" w:cs="宋体"/>
                <w:kern w:val="0"/>
                <w:sz w:val="24"/>
                <w:szCs w:val="24"/>
              </w:rPr>
              <w:t>　</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1055.22</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2050303</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技校教育</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4421.8</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2778.56</w:t>
            </w:r>
            <w:r>
              <w:rPr>
                <w:rFonts w:hint="eastAsia" w:ascii="宋体" w:hAnsi="宋体" w:eastAsia="宋体" w:cs="宋体"/>
                <w:kern w:val="0"/>
                <w:sz w:val="24"/>
                <w:szCs w:val="24"/>
              </w:rPr>
              <w:t>　</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1643.24</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2080505</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机关事业单位基本养老保险缴费支出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350</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350</w:t>
            </w:r>
            <w:r>
              <w:rPr>
                <w:rFonts w:hint="eastAsia" w:ascii="宋体" w:hAnsi="宋体" w:eastAsia="宋体" w:cs="宋体"/>
                <w:kern w:val="0"/>
                <w:sz w:val="24"/>
                <w:szCs w:val="24"/>
              </w:rPr>
              <w:t>　</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2080701</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就业创业服务补贴</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7.1</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7.1</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2080702</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职业培训补贴</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221.92</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221.92</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2101102</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事业单位医疗</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240</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240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both"/>
              <w:rPr>
                <w:rFonts w:hint="eastAsia" w:asciiTheme="minorHAnsi" w:hAnsiTheme="minorHAnsi" w:eastAsiaTheme="minorEastAsia" w:cstheme="minorBidi"/>
                <w:kern w:val="2"/>
                <w:sz w:val="21"/>
                <w:szCs w:val="22"/>
                <w:lang w:val="en-US" w:eastAsia="zh-CN" w:bidi="ar-SA"/>
              </w:rPr>
            </w:pPr>
            <w:r>
              <w:rPr>
                <w:rFonts w:hint="eastAsia"/>
                <w:lang w:val="en-US" w:eastAsia="zh-CN"/>
              </w:rPr>
              <w:t>2210201</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住房公积金</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630" w:hRule="atLeast"/>
        </w:trPr>
        <w:tc>
          <w:tcPr>
            <w:tcW w:w="14352"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trHeight w:val="285" w:hRule="atLeast"/>
        </w:trPr>
        <w:tc>
          <w:tcPr>
            <w:tcW w:w="3595" w:type="dxa"/>
            <w:gridSpan w:val="4"/>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20"/>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gridSpan w:val="4"/>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湖南省汽车技师学院</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6364.1</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5488.65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5488.65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六、科学技术支出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七、问号旅游体育与传媒支出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37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八、社会保障就业支出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579.02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579.02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九、卫生健康支出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240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240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numPr>
                <w:ilvl w:val="0"/>
                <w:numId w:val="2"/>
              </w:numPr>
              <w:jc w:val="both"/>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节能环保支出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11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十一、城乡社区支出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十二、农林水支出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十三、交通运输支出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十四、资源勘探工业信息等支出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十五、商业服务支出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十六、金融支出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十七、援助其他地区支出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十八、自然资源海洋气象支出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十九、住房保障支出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210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210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二十、粮油物资储备支出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二十一、国有资本经营预算支出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二十二、灾害防治及应急管理支出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二十三、其他支出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二十四、债务还本支出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二十五、债务付息支出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二十六、抗疫特别国债安排的支出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1195.74</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1042.17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1042.17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1195.74</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60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30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7559.84</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1573"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7559.84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7559.84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p>
        </w:tc>
      </w:tr>
      <w:tr>
        <w:tblPrEx>
          <w:tblCellMar>
            <w:top w:w="0" w:type="dxa"/>
            <w:left w:w="108" w:type="dxa"/>
            <w:bottom w:w="0" w:type="dxa"/>
            <w:right w:w="108" w:type="dxa"/>
          </w:tblCellMar>
        </w:tblPrEx>
        <w:trPr>
          <w:trHeight w:val="585" w:hRule="atLeast"/>
        </w:trPr>
        <w:tc>
          <w:tcPr>
            <w:tcW w:w="15521"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left="13650" w:leftChars="200" w:hanging="13230" w:hangingChars="6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ind w:firstLine="13650" w:firstLineChars="6500"/>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单位：万元</w:t>
      </w:r>
    </w:p>
    <w:tbl>
      <w:tblPr>
        <w:tblStyle w:val="9"/>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6517.67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3690.59</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2827.08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2050302</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中等职业教育</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2463.87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1408.65</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1055.22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2050303</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技校教育</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3024.78</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1481.94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1542.84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2080505</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350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350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2080701</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就业创业服务补贴</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2080702</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职业培训补贴</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221.92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221.92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2101102</w:t>
            </w:r>
          </w:p>
        </w:tc>
        <w:tc>
          <w:tcPr>
            <w:tcW w:w="3527" w:type="dxa"/>
            <w:tcBorders>
              <w:top w:val="nil"/>
              <w:left w:val="nil"/>
              <w:bottom w:val="single" w:color="auto" w:sz="8"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事业单位医疗</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2210201</w:t>
            </w:r>
          </w:p>
        </w:tc>
        <w:tc>
          <w:tcPr>
            <w:tcW w:w="3527" w:type="dxa"/>
            <w:tcBorders>
              <w:top w:val="nil"/>
              <w:left w:val="nil"/>
              <w:bottom w:val="single" w:color="auto" w:sz="8"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ind w:firstLine="420" w:firstLineChars="200"/>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9"/>
        <w:tblW w:w="15898" w:type="dxa"/>
        <w:tblInd w:w="0" w:type="dxa"/>
        <w:tblLayout w:type="fixed"/>
        <w:tblCellMar>
          <w:top w:w="0" w:type="dxa"/>
          <w:left w:w="108" w:type="dxa"/>
          <w:bottom w:w="0" w:type="dxa"/>
          <w:right w:w="108" w:type="dxa"/>
        </w:tblCellMar>
      </w:tblPr>
      <w:tblGrid>
        <w:gridCol w:w="1325"/>
        <w:gridCol w:w="3331"/>
        <w:gridCol w:w="1161"/>
        <w:gridCol w:w="741"/>
        <w:gridCol w:w="2316"/>
        <w:gridCol w:w="1056"/>
        <w:gridCol w:w="741"/>
        <w:gridCol w:w="4206"/>
        <w:gridCol w:w="1021"/>
      </w:tblGrid>
      <w:tr>
        <w:tblPrEx>
          <w:tblCellMar>
            <w:top w:w="0" w:type="dxa"/>
            <w:left w:w="108" w:type="dxa"/>
            <w:bottom w:w="0" w:type="dxa"/>
            <w:right w:w="108" w:type="dxa"/>
          </w:tblCellMar>
        </w:tblPrEx>
        <w:trPr>
          <w:trHeight w:val="113" w:hRule="atLeast"/>
        </w:trPr>
        <w:tc>
          <w:tcPr>
            <w:tcW w:w="15898" w:type="dxa"/>
            <w:gridSpan w:val="9"/>
            <w:tcBorders>
              <w:top w:val="nil"/>
              <w:left w:val="nil"/>
              <w:bottom w:val="nil"/>
              <w:right w:val="nil"/>
            </w:tcBorders>
            <w:shd w:val="clear" w:color="auto" w:fill="auto"/>
            <w:noWrap/>
            <w:vAlign w:val="center"/>
          </w:tcPr>
          <w:p>
            <w:pPr>
              <w:widowControl/>
              <w:ind w:firstLine="420" w:firstLineChars="200"/>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公开06表</w:t>
            </w:r>
          </w:p>
          <w:p>
            <w:pPr>
              <w:widowControl/>
              <w:ind w:firstLine="420" w:firstLineChars="200"/>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2962.92</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727.67</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基本工资</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1198.35</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办公费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国内债务付息</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津贴补贴</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264.57</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印刷费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国外债务付息</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奖金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咨询费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伙食补助费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手续费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房屋建筑物购建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绩效工资</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700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办公设备购置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机关事业单位基本养老保险缴费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350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电费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专用设备购置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职业年金缴费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邮电费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基础设施建设</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职工基本医疗保险缴费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240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取暖费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大型修缮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公务员医疗补助缴费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物业管理费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信息网络及软件购置更新</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其他社会保障缴费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差旅费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物资储备</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住房公积金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210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因公出国（境）费用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土地补偿</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9"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医疗费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维修（护）费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158</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安置补助</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其他工资福利支出</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租赁费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地上附着物和青苗补偿</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会议费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拆迁补偿</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离休费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培训费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24.08</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公务用车购置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退休费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公务接待费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其他交通工具购置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退职（役）费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专用材料费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文物和陈列品购置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抚恤金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被装购置费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无形资产购置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生活补助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专用燃料费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其他资本性支出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救济费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劳务费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医疗费补助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委托业务费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赠与</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助学金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工会经费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国家赔偿费用支出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奖励金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福利费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对民间非营利组织和群众性自治组织补贴</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个人农业生产补贴</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公务用车运行维护费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代缴社会保险费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其他交通费用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其他对个人和家庭的补助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税金及附加费用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其他商品和服务支出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185.59</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6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2962.92</w:t>
            </w:r>
          </w:p>
        </w:tc>
        <w:tc>
          <w:tcPr>
            <w:tcW w:w="90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727.67</w:t>
            </w:r>
          </w:p>
        </w:tc>
      </w:tr>
      <w:tr>
        <w:tblPrEx>
          <w:tblCellMar>
            <w:top w:w="0" w:type="dxa"/>
            <w:left w:w="108" w:type="dxa"/>
            <w:bottom w:w="0" w:type="dxa"/>
            <w:right w:w="108" w:type="dxa"/>
          </w:tblCellMar>
        </w:tblPrEx>
        <w:trPr>
          <w:trHeight w:val="284" w:hRule="exact"/>
        </w:trPr>
        <w:tc>
          <w:tcPr>
            <w:tcW w:w="15898"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ind w:firstLine="720" w:firstLineChars="200"/>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firstLine="420" w:firstLineChars="20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977" w:type="dxa"/>
        <w:jc w:val="center"/>
        <w:tblLayout w:type="autofit"/>
        <w:tblCellMar>
          <w:top w:w="0" w:type="dxa"/>
          <w:left w:w="108" w:type="dxa"/>
          <w:bottom w:w="0" w:type="dxa"/>
          <w:right w:w="108" w:type="dxa"/>
        </w:tblCellMar>
      </w:tblPr>
      <w:tblGrid>
        <w:gridCol w:w="1557"/>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657"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557"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557"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5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557"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bl>
    <w:p>
      <w:pPr>
        <w:widowControl/>
        <w:ind w:firstLine="480" w:firstLineChars="20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widowControl/>
        <w:ind w:firstLine="720" w:firstLineChars="200"/>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ind w:firstLine="420" w:firstLineChars="20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9"/>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ind w:firstLine="420" w:firstLineChars="200"/>
        <w:jc w:val="left"/>
        <w:rPr>
          <w:rFonts w:ascii="黑体" w:hAnsi="黑体" w:eastAsia="黑体"/>
          <w:szCs w:val="21"/>
        </w:rPr>
      </w:pPr>
      <w:r>
        <w:rPr>
          <w:rFonts w:ascii="黑体" w:hAnsi="黑体" w:eastAsia="黑体"/>
          <w:szCs w:val="21"/>
        </w:rPr>
        <w:br w:type="page"/>
      </w:r>
    </w:p>
    <w:tbl>
      <w:tblPr>
        <w:tblStyle w:val="9"/>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3215" w:type="dxa"/>
            <w:gridSpan w:val="2"/>
            <w:tcBorders>
              <w:top w:val="nil"/>
              <w:left w:val="nil"/>
              <w:bottom w:val="nil"/>
              <w:right w:val="nil"/>
            </w:tcBorders>
            <w:shd w:val="clear" w:color="000000" w:fill="FFFFFF"/>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湖南省汽车技师学院</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4"/>
        <w:rPr>
          <w:sz w:val="72"/>
          <w:szCs w:val="72"/>
        </w:rPr>
        <w:sectPr>
          <w:pgSz w:w="16838" w:h="11906" w:orient="landscape"/>
          <w:pgMar w:top="720" w:right="720" w:bottom="720" w:left="720" w:header="851" w:footer="992" w:gutter="0"/>
          <w:cols w:space="425" w:num="1"/>
          <w:docGrid w:type="lines" w:linePitch="312" w:charSpace="0"/>
        </w:sectPr>
      </w:pPr>
    </w:p>
    <w:p>
      <w:pPr>
        <w:pStyle w:val="14"/>
        <w:jc w:val="center"/>
        <w:rPr>
          <w:sz w:val="72"/>
          <w:szCs w:val="72"/>
        </w:rPr>
      </w:pPr>
      <w:r>
        <w:rPr>
          <w:rFonts w:hint="eastAsia"/>
          <w:sz w:val="72"/>
          <w:szCs w:val="72"/>
        </w:rPr>
        <w:t>第三部分</w:t>
      </w:r>
    </w:p>
    <w:p>
      <w:pPr>
        <w:pStyle w:val="14"/>
        <w:jc w:val="center"/>
        <w:rPr>
          <w:sz w:val="70"/>
          <w:szCs w:val="70"/>
        </w:rPr>
      </w:pPr>
      <w:r>
        <w:rPr>
          <w:sz w:val="70"/>
          <w:szCs w:val="70"/>
        </w:rPr>
        <w:t>20</w:t>
      </w:r>
      <w:r>
        <w:rPr>
          <w:rFonts w:hint="eastAsia"/>
          <w:sz w:val="70"/>
          <w:szCs w:val="70"/>
        </w:rPr>
        <w:t>20年度部门决算情况说明</w:t>
      </w:r>
    </w:p>
    <w:p>
      <w:pPr>
        <w:widowControl/>
        <w:ind w:firstLine="640" w:firstLineChars="200"/>
        <w:jc w:val="left"/>
        <w:rPr>
          <w:rFonts w:hint="eastAsia" w:ascii="黑体" w:hAnsi="黑体" w:eastAsia="黑体" w:cs="黑体"/>
          <w:b/>
          <w:sz w:val="32"/>
          <w:szCs w:val="32"/>
        </w:rPr>
      </w:pPr>
      <w:r>
        <w:rPr>
          <w:rFonts w:hint="eastAsia" w:ascii="黑体" w:hAnsi="黑体" w:eastAsia="黑体" w:cs="黑体"/>
          <w:b/>
          <w:bCs w:val="0"/>
          <w:sz w:val="32"/>
          <w:szCs w:val="32"/>
          <w:lang w:eastAsia="zh-CN"/>
        </w:rPr>
        <w:t>一、</w:t>
      </w:r>
      <w:r>
        <w:rPr>
          <w:rFonts w:hint="eastAsia" w:ascii="黑体" w:hAnsi="黑体" w:eastAsia="黑体" w:cs="黑体"/>
          <w:b/>
          <w:sz w:val="32"/>
          <w:szCs w:val="32"/>
        </w:rPr>
        <w:t>收入支出决算总体情况说明</w:t>
      </w:r>
    </w:p>
    <w:p>
      <w:pPr>
        <w:pStyle w:val="14"/>
        <w:ind w:firstLine="640" w:firstLineChars="200"/>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2020年度收入合计7583.54万元，与上年相比增加470.19万元，增长6.2%，主要原因2020年改善中职办学条件390万元比2019年多223万元；解决学院办学基础能力建设方面的资金问题200万元；国有资源（资产）有偿使用收入147.52万元。</w:t>
      </w:r>
    </w:p>
    <w:p>
      <w:pPr>
        <w:pStyle w:val="14"/>
        <w:ind w:firstLine="640" w:firstLine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2020年度支出合计7914.69万元，与上年相比增长977.04万元，增长14.09%，主要原因是2019年度学院基建维修工程、水电改造工程以及实训室设备采购的大部分合同款项在2020年度予以支付。</w:t>
      </w:r>
    </w:p>
    <w:p>
      <w:pPr>
        <w:pStyle w:val="14"/>
        <w:ind w:firstLine="640" w:firstLineChars="200"/>
        <w:rPr>
          <w:rFonts w:hAnsi="黑体"/>
          <w:b/>
          <w:sz w:val="32"/>
          <w:szCs w:val="32"/>
        </w:rPr>
      </w:pPr>
      <w:r>
        <w:rPr>
          <w:rFonts w:hint="eastAsia" w:hAnsi="黑体"/>
          <w:b/>
          <w:sz w:val="32"/>
          <w:szCs w:val="32"/>
        </w:rPr>
        <w:t>二、收入决算情况说明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7583.54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6364.1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83.92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1219.44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16.08</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ind w:firstLine="640" w:firstLineChars="200"/>
        <w:rPr>
          <w:rFonts w:hAnsi="黑体"/>
          <w:b/>
          <w:sz w:val="32"/>
          <w:szCs w:val="32"/>
        </w:rPr>
      </w:pPr>
      <w:r>
        <w:rPr>
          <w:rFonts w:hint="eastAsia" w:hAnsi="黑体"/>
          <w:b/>
          <w:sz w:val="32"/>
          <w:szCs w:val="32"/>
        </w:rPr>
        <w:t>三、支出决算情况说明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7914.69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4987.21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63.01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2927.48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36.99%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ind w:firstLine="640" w:firstLineChars="200"/>
        <w:rPr>
          <w:rFonts w:hAnsi="黑体"/>
          <w:b/>
          <w:sz w:val="32"/>
          <w:szCs w:val="32"/>
        </w:rPr>
      </w:pPr>
      <w:r>
        <w:rPr>
          <w:rFonts w:hint="eastAsia" w:hAnsi="黑体"/>
          <w:b/>
          <w:sz w:val="32"/>
          <w:szCs w:val="32"/>
        </w:rPr>
        <w:t>四、财政拨款收入支出决算总体情况说明</w:t>
      </w:r>
    </w:p>
    <w:p>
      <w:pPr>
        <w:pStyle w:val="14"/>
        <w:ind w:firstLine="640" w:firstLineChars="200"/>
        <w:rPr>
          <w:rFonts w:hint="eastAsia" w:ascii="宋体" w:hAnsi="宋体" w:eastAsia="宋体" w:cs="宋体"/>
          <w:sz w:val="32"/>
          <w:szCs w:val="32"/>
        </w:rPr>
      </w:pPr>
      <w:r>
        <w:rPr>
          <w:rFonts w:hint="eastAsia" w:ascii="宋体" w:hAnsi="宋体" w:eastAsia="宋体" w:cs="宋体"/>
          <w:sz w:val="32"/>
          <w:szCs w:val="32"/>
        </w:rPr>
        <w:t>2020年度财政拨款收</w:t>
      </w:r>
      <w:r>
        <w:rPr>
          <w:rFonts w:hint="eastAsia" w:ascii="宋体" w:hAnsi="宋体" w:eastAsia="宋体" w:cs="宋体"/>
          <w:sz w:val="32"/>
          <w:szCs w:val="32"/>
          <w:lang w:eastAsia="zh-CN"/>
        </w:rPr>
        <w:t>入</w:t>
      </w:r>
      <w:r>
        <w:rPr>
          <w:rFonts w:hint="eastAsia" w:ascii="宋体" w:hAnsi="宋体" w:eastAsia="宋体" w:cs="宋体"/>
          <w:sz w:val="32"/>
          <w:szCs w:val="32"/>
        </w:rPr>
        <w:t>总计</w:t>
      </w:r>
      <w:r>
        <w:rPr>
          <w:rFonts w:hint="eastAsia" w:ascii="宋体" w:hAnsi="宋体" w:eastAsia="宋体" w:cs="宋体"/>
          <w:sz w:val="32"/>
          <w:szCs w:val="32"/>
          <w:lang w:val="en-US" w:eastAsia="zh-CN"/>
        </w:rPr>
        <w:t>6364.1</w:t>
      </w:r>
      <w:r>
        <w:rPr>
          <w:rFonts w:hint="eastAsia" w:ascii="宋体" w:hAnsi="宋体" w:eastAsia="宋体" w:cs="宋体"/>
          <w:sz w:val="32"/>
          <w:szCs w:val="32"/>
        </w:rPr>
        <w:t>万元，与上年相比，增加</w:t>
      </w:r>
      <w:r>
        <w:rPr>
          <w:rFonts w:hint="eastAsia" w:ascii="宋体" w:hAnsi="宋体" w:eastAsia="宋体" w:cs="宋体"/>
          <w:sz w:val="32"/>
          <w:szCs w:val="32"/>
          <w:lang w:val="en-US" w:eastAsia="zh-CN"/>
        </w:rPr>
        <w:t>527.77</w:t>
      </w:r>
      <w:r>
        <w:rPr>
          <w:rFonts w:hint="eastAsia" w:ascii="宋体" w:hAnsi="宋体" w:eastAsia="宋体" w:cs="宋体"/>
          <w:sz w:val="32"/>
          <w:szCs w:val="32"/>
        </w:rPr>
        <w:t>万元,增长</w:t>
      </w:r>
      <w:r>
        <w:rPr>
          <w:rFonts w:hint="eastAsia" w:ascii="宋体" w:hAnsi="宋体" w:eastAsia="宋体" w:cs="宋体"/>
          <w:sz w:val="32"/>
          <w:szCs w:val="32"/>
          <w:lang w:val="en-US" w:eastAsia="zh-CN"/>
        </w:rPr>
        <w:t>9.04%</w:t>
      </w:r>
      <w:r>
        <w:rPr>
          <w:rFonts w:hint="eastAsia" w:ascii="宋体" w:hAnsi="宋体" w:eastAsia="宋体" w:cs="宋体"/>
          <w:sz w:val="32"/>
          <w:szCs w:val="32"/>
        </w:rPr>
        <w:t>，</w:t>
      </w:r>
      <w:r>
        <w:rPr>
          <w:rFonts w:hint="eastAsia" w:ascii="宋体" w:hAnsi="宋体" w:eastAsia="宋体" w:cs="宋体"/>
          <w:b w:val="0"/>
          <w:bCs/>
          <w:sz w:val="32"/>
          <w:szCs w:val="32"/>
          <w:lang w:val="en-US" w:eastAsia="zh-CN"/>
        </w:rPr>
        <w:t>主要原因2020年改善中职办学条件390万元比2019年多223万元；解决学院办学基础能力建设方面的资金问题200万元；国有资源（资产）有偿使用收入147.52万元。</w:t>
      </w:r>
    </w:p>
    <w:p>
      <w:pPr>
        <w:pStyle w:val="14"/>
        <w:ind w:firstLine="640" w:firstLine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2020年度财政拨款支出总计6517.67万元，与上年相比增加846.19万元，增长14.92%,主要原因是2019年度学院基建维修工程、水电改造工程以及实训室设备采购的大部分合同款项在2020年度予以支付。</w:t>
      </w:r>
    </w:p>
    <w:p>
      <w:pPr>
        <w:pStyle w:val="14"/>
        <w:ind w:firstLine="640" w:firstLineChars="200"/>
        <w:rPr>
          <w:rFonts w:hAnsi="黑体"/>
          <w:b/>
          <w:sz w:val="32"/>
          <w:szCs w:val="32"/>
        </w:rPr>
      </w:pPr>
      <w:r>
        <w:rPr>
          <w:rFonts w:hint="eastAsia" w:hAnsi="黑体"/>
          <w:b/>
          <w:sz w:val="32"/>
          <w:szCs w:val="32"/>
        </w:rPr>
        <w:t>五、一般公共预算财政拨款支出决算情况说明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4"/>
        <w:ind w:firstLine="640" w:firstLineChars="200"/>
        <w:rPr>
          <w:rFonts w:hint="eastAsia" w:ascii="宋体" w:hAnsi="宋体" w:eastAsia="宋体" w:cs="宋体"/>
          <w:b w:val="0"/>
          <w:bCs/>
          <w:sz w:val="32"/>
          <w:szCs w:val="32"/>
          <w:lang w:val="en-US" w:eastAsia="zh-CN"/>
        </w:rPr>
      </w:pPr>
      <w:r>
        <w:rPr>
          <w:rFonts w:hint="eastAsia" w:asciiTheme="minorEastAsia" w:hAnsiTheme="minorEastAsia" w:eastAsiaTheme="minorEastAsia"/>
          <w:sz w:val="32"/>
          <w:szCs w:val="32"/>
        </w:rPr>
        <w:t>2020年度财政拨款支出</w:t>
      </w:r>
      <w:r>
        <w:rPr>
          <w:rFonts w:hint="eastAsia" w:ascii="宋体" w:hAnsi="宋体" w:eastAsia="宋体" w:cs="宋体"/>
          <w:b w:val="0"/>
          <w:bCs/>
          <w:sz w:val="32"/>
          <w:szCs w:val="32"/>
          <w:lang w:val="en-US" w:eastAsia="zh-CN"/>
        </w:rPr>
        <w:t>6517.67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82.35</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846.19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14.92</w:t>
      </w:r>
      <w:r>
        <w:rPr>
          <w:rFonts w:hint="eastAsia" w:asciiTheme="minorEastAsia" w:hAnsiTheme="minorEastAsia" w:eastAsiaTheme="minorEastAsia"/>
          <w:sz w:val="32"/>
          <w:szCs w:val="32"/>
        </w:rPr>
        <w:t>%，</w:t>
      </w:r>
      <w:r>
        <w:rPr>
          <w:rFonts w:hint="eastAsia" w:ascii="宋体" w:hAnsi="宋体" w:eastAsia="宋体" w:cs="宋体"/>
          <w:b w:val="0"/>
          <w:bCs/>
          <w:sz w:val="32"/>
          <w:szCs w:val="32"/>
          <w:lang w:val="en-US" w:eastAsia="zh-CN"/>
        </w:rPr>
        <w:t>主要原因是2019年度学院基建维修工程、水电改造工程以及实训室设备采购的大部分合同款项在2020年度予以支付。</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6517.67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%；教育（类）</w:t>
      </w:r>
      <w:r>
        <w:rPr>
          <w:rFonts w:hint="eastAsia" w:asciiTheme="minorEastAsia" w:hAnsiTheme="minorEastAsia" w:eastAsiaTheme="minorEastAsia"/>
          <w:sz w:val="32"/>
          <w:szCs w:val="32"/>
          <w:lang w:val="en-US" w:eastAsia="zh-CN"/>
        </w:rPr>
        <w:t>5488.65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84.21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；社会保障就业支出</w:t>
      </w:r>
      <w:r>
        <w:rPr>
          <w:rFonts w:hint="eastAsia" w:asciiTheme="minorEastAsia" w:hAnsiTheme="minorEastAsia" w:eastAsiaTheme="minorEastAsia"/>
          <w:sz w:val="32"/>
          <w:szCs w:val="32"/>
          <w:lang w:val="en-US" w:eastAsia="zh-CN"/>
        </w:rPr>
        <w:t>579.02万元，占8.89%；</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240万元，占3.68%；住房保障支出210万元，占3.22%。</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3619.95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6364.1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175.81</w:t>
      </w:r>
      <w:r>
        <w:rPr>
          <w:rFonts w:hint="eastAsia" w:asciiTheme="minorEastAsia" w:hAnsiTheme="minorEastAsia" w:eastAsiaTheme="minorEastAsia"/>
          <w:sz w:val="32"/>
          <w:szCs w:val="32"/>
        </w:rPr>
        <w:t>%，其中：</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numPr>
          <w:ilvl w:val="0"/>
          <w:numId w:val="3"/>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教育支出。</w:t>
      </w:r>
    </w:p>
    <w:p>
      <w:pPr>
        <w:pStyle w:val="14"/>
        <w:numPr>
          <w:ilvl w:val="0"/>
          <w:numId w:val="0"/>
        </w:numPr>
        <w:rPr>
          <w:rFonts w:hint="eastAsia" w:asciiTheme="minorEastAsia" w:hAnsiTheme="minorEastAsia" w:eastAsiaTheme="minorEastAsia"/>
          <w:b w:val="0"/>
          <w:bCs w:val="0"/>
          <w:sz w:val="32"/>
          <w:szCs w:val="32"/>
          <w:lang w:val="en-US" w:eastAsia="zh-CN"/>
        </w:rPr>
      </w:pPr>
      <w:r>
        <w:rPr>
          <w:rFonts w:hint="eastAsia" w:asciiTheme="minorEastAsia" w:hAnsiTheme="minorEastAsia" w:eastAsiaTheme="minorEastAsia"/>
          <w:sz w:val="32"/>
          <w:szCs w:val="32"/>
          <w:lang w:val="en-US" w:eastAsia="zh-CN"/>
        </w:rPr>
        <w:t xml:space="preserve">     年初预算数为2819.95万元，支出决算数为5488.65万元，完成年初预算</w:t>
      </w:r>
      <w:r>
        <w:rPr>
          <w:rFonts w:hint="eastAsia" w:asciiTheme="minorEastAsia" w:hAnsiTheme="minorEastAsia" w:eastAsiaTheme="minorEastAsia"/>
          <w:b w:val="0"/>
          <w:bCs w:val="0"/>
          <w:sz w:val="32"/>
          <w:szCs w:val="32"/>
          <w:lang w:val="en-US" w:eastAsia="zh-CN"/>
        </w:rPr>
        <w:t>数的194.64%，</w:t>
      </w:r>
      <w:r>
        <w:rPr>
          <w:rFonts w:hint="eastAsia" w:asciiTheme="minorEastAsia" w:hAnsiTheme="minorEastAsia" w:eastAsiaTheme="minorEastAsia"/>
          <w:b w:val="0"/>
          <w:bCs w:val="0"/>
          <w:sz w:val="32"/>
          <w:szCs w:val="32"/>
        </w:rPr>
        <w:t>决算数大于</w:t>
      </w:r>
      <w:r>
        <w:rPr>
          <w:rFonts w:hint="eastAsia" w:asciiTheme="minorEastAsia" w:hAnsiTheme="minorEastAsia" w:eastAsiaTheme="minorEastAsia"/>
          <w:b w:val="0"/>
          <w:bCs w:val="0"/>
          <w:sz w:val="32"/>
          <w:szCs w:val="32"/>
          <w:lang w:eastAsia="zh-CN"/>
        </w:rPr>
        <w:t>年初预算数的主要原因是后续追加指标。</w:t>
      </w:r>
    </w:p>
    <w:p>
      <w:pPr>
        <w:pStyle w:val="14"/>
        <w:numPr>
          <w:ilvl w:val="0"/>
          <w:numId w:val="3"/>
        </w:numPr>
        <w:ind w:left="0" w:leftChars="0"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社会保障和就业支出</w:t>
      </w:r>
    </w:p>
    <w:p>
      <w:pPr>
        <w:pStyle w:val="14"/>
        <w:numPr>
          <w:ilvl w:val="0"/>
          <w:numId w:val="0"/>
        </w:numPr>
        <w:ind w:left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年初预算数350万元，支出决算算为579.02万元，完成年初预算数的165.43%，</w:t>
      </w:r>
      <w:r>
        <w:rPr>
          <w:rFonts w:hint="eastAsia" w:ascii="宋体" w:hAnsi="宋体" w:eastAsia="宋体" w:cs="宋体"/>
          <w:b w:val="0"/>
          <w:bCs w:val="0"/>
          <w:sz w:val="32"/>
          <w:szCs w:val="32"/>
        </w:rPr>
        <w:t>决算数大于</w:t>
      </w:r>
      <w:r>
        <w:rPr>
          <w:rFonts w:hint="eastAsia" w:ascii="宋体" w:hAnsi="宋体" w:eastAsia="宋体" w:cs="宋体"/>
          <w:b w:val="0"/>
          <w:bCs w:val="0"/>
          <w:sz w:val="32"/>
          <w:szCs w:val="32"/>
          <w:lang w:eastAsia="zh-CN"/>
        </w:rPr>
        <w:t>年初预算数的主要原因是后续追加指标。</w:t>
      </w:r>
    </w:p>
    <w:p>
      <w:pPr>
        <w:pStyle w:val="14"/>
        <w:numPr>
          <w:ilvl w:val="0"/>
          <w:numId w:val="3"/>
        </w:numPr>
        <w:ind w:left="0" w:leftChars="0"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卫生健康支出</w:t>
      </w:r>
    </w:p>
    <w:p>
      <w:pPr>
        <w:pStyle w:val="14"/>
        <w:numPr>
          <w:ilvl w:val="0"/>
          <w:numId w:val="0"/>
        </w:numPr>
        <w:ind w:leftChars="200"/>
        <w:rPr>
          <w:rFonts w:hint="eastAsia" w:ascii="宋体" w:hAnsi="宋体" w:eastAsia="宋体" w:cs="宋体"/>
          <w:b w:val="0"/>
          <w:bCs/>
          <w:sz w:val="32"/>
          <w:szCs w:val="32"/>
          <w:lang w:val="en-US" w:eastAsia="zh-CN"/>
        </w:rPr>
      </w:pPr>
      <w:r>
        <w:rPr>
          <w:rFonts w:hint="eastAsia" w:hAnsi="黑体"/>
          <w:b/>
          <w:sz w:val="32"/>
          <w:szCs w:val="32"/>
          <w:lang w:val="en-US" w:eastAsia="zh-CN"/>
        </w:rPr>
        <w:t xml:space="preserve">   </w:t>
      </w:r>
      <w:r>
        <w:rPr>
          <w:rFonts w:hint="eastAsia" w:ascii="宋体" w:hAnsi="宋体" w:eastAsia="宋体" w:cs="宋体"/>
          <w:b w:val="0"/>
          <w:bCs/>
          <w:sz w:val="32"/>
          <w:szCs w:val="32"/>
          <w:lang w:val="en-US" w:eastAsia="zh-CN"/>
        </w:rPr>
        <w:t>年初预算数240万元，支出决算算为240万元，完成年初预算数的100%。</w:t>
      </w:r>
    </w:p>
    <w:p>
      <w:pPr>
        <w:pStyle w:val="14"/>
        <w:numPr>
          <w:ilvl w:val="0"/>
          <w:numId w:val="3"/>
        </w:numPr>
        <w:ind w:left="0" w:leftChars="0" w:firstLine="640" w:firstLine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住房保障支出</w:t>
      </w:r>
    </w:p>
    <w:p>
      <w:pPr>
        <w:pStyle w:val="14"/>
        <w:numPr>
          <w:ilvl w:val="0"/>
          <w:numId w:val="0"/>
        </w:numPr>
        <w:ind w:leftChars="200"/>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年初预算数210万元，支出决算数为210万，完成年初预算数的100%。</w:t>
      </w:r>
    </w:p>
    <w:p>
      <w:pPr>
        <w:pStyle w:val="14"/>
        <w:ind w:firstLine="640" w:firstLineChars="200"/>
        <w:rPr>
          <w:rFonts w:hAnsi="黑体"/>
          <w:b/>
          <w:sz w:val="32"/>
          <w:szCs w:val="32"/>
        </w:rPr>
      </w:pPr>
      <w:r>
        <w:rPr>
          <w:rFonts w:hint="eastAsia" w:hAnsi="黑体"/>
          <w:b/>
          <w:sz w:val="32"/>
          <w:szCs w:val="32"/>
        </w:rPr>
        <w:t>六、一般公共预算财政拨款基本支出决算情况说明</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3690.59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2962.92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80.28</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1198.35万元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264.57万元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lang w:val="en-US" w:eastAsia="zh-CN"/>
        </w:rPr>
        <w:t>700万元</w:t>
      </w:r>
      <w:r>
        <w:rPr>
          <w:rFonts w:hint="eastAsia" w:asciiTheme="minorEastAsia" w:hAnsiTheme="minorEastAsia" w:eastAsiaTheme="minorEastAsia"/>
          <w:sz w:val="32"/>
          <w:szCs w:val="32"/>
          <w:lang w:eastAsia="zh-CN"/>
        </w:rPr>
        <w:t>、机关事业单位养老保险</w:t>
      </w:r>
      <w:r>
        <w:rPr>
          <w:rFonts w:hint="eastAsia" w:asciiTheme="minorEastAsia" w:hAnsiTheme="minorEastAsia" w:eastAsiaTheme="minorEastAsia"/>
          <w:sz w:val="32"/>
          <w:szCs w:val="32"/>
          <w:lang w:val="en-US" w:eastAsia="zh-CN"/>
        </w:rPr>
        <w:t>350万元</w:t>
      </w:r>
      <w:r>
        <w:rPr>
          <w:rFonts w:hint="eastAsia" w:asciiTheme="minorEastAsia" w:hAnsiTheme="minorEastAsia" w:eastAsiaTheme="minorEastAsia"/>
          <w:sz w:val="32"/>
          <w:szCs w:val="32"/>
          <w:lang w:eastAsia="zh-CN"/>
        </w:rPr>
        <w:t>、职工基本医疗保险</w:t>
      </w:r>
      <w:r>
        <w:rPr>
          <w:rFonts w:hint="eastAsia" w:asciiTheme="minorEastAsia" w:hAnsiTheme="minorEastAsia" w:eastAsiaTheme="minorEastAsia"/>
          <w:sz w:val="32"/>
          <w:szCs w:val="32"/>
          <w:lang w:val="en-US" w:eastAsia="zh-CN"/>
        </w:rPr>
        <w:t>240万元</w:t>
      </w:r>
      <w:r>
        <w:rPr>
          <w:rFonts w:hint="eastAsia" w:asciiTheme="minorEastAsia" w:hAnsiTheme="minorEastAsia" w:eastAsiaTheme="minorEastAsia"/>
          <w:sz w:val="32"/>
          <w:szCs w:val="32"/>
          <w:lang w:eastAsia="zh-CN"/>
        </w:rPr>
        <w:t>、住房公积金</w:t>
      </w:r>
      <w:r>
        <w:rPr>
          <w:rFonts w:hint="eastAsia" w:asciiTheme="minorEastAsia" w:hAnsiTheme="minorEastAsia" w:eastAsiaTheme="minorEastAsia"/>
          <w:sz w:val="32"/>
          <w:szCs w:val="32"/>
          <w:lang w:val="en-US" w:eastAsia="zh-CN"/>
        </w:rPr>
        <w:t>210万元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727.67万元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19.72</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水费</w:t>
      </w:r>
      <w:r>
        <w:rPr>
          <w:rFonts w:hint="eastAsia" w:asciiTheme="minorEastAsia" w:hAnsiTheme="minorEastAsia" w:eastAsiaTheme="minorEastAsia"/>
          <w:sz w:val="32"/>
          <w:szCs w:val="32"/>
          <w:lang w:val="en-US" w:eastAsia="zh-CN"/>
        </w:rPr>
        <w:t>30万元、电费60万元、物业管理费60万元、差旅费30万元、维修（护）费158万元、租赁费180万元、培训费24.08万元、其他商品和服务支出185.59万元。</w:t>
      </w:r>
    </w:p>
    <w:p>
      <w:pPr>
        <w:pStyle w:val="14"/>
        <w:ind w:firstLine="640" w:firstLineChars="200"/>
        <w:rPr>
          <w:rFonts w:hAnsi="黑体"/>
          <w:b/>
          <w:sz w:val="32"/>
          <w:szCs w:val="32"/>
        </w:rPr>
      </w:pPr>
      <w:r>
        <w:rPr>
          <w:rFonts w:hint="eastAsia" w:hAnsi="黑体"/>
          <w:b/>
          <w:sz w:val="32"/>
          <w:szCs w:val="32"/>
        </w:rPr>
        <w:t>七、一般公共预算财政拨款三公经费支出决算情况说明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学院年初编制部门预算时</w:t>
      </w:r>
      <w:r>
        <w:rPr>
          <w:rFonts w:hint="eastAsia" w:asciiTheme="minorEastAsia" w:hAnsiTheme="minorEastAsia" w:eastAsiaTheme="minorEastAsia"/>
          <w:sz w:val="32"/>
          <w:szCs w:val="32"/>
        </w:rPr>
        <w:t>“三公”经费</w:t>
      </w:r>
      <w:r>
        <w:rPr>
          <w:rFonts w:hint="eastAsia" w:asciiTheme="minorEastAsia" w:hAnsiTheme="minorEastAsia" w:eastAsiaTheme="minorEastAsia"/>
          <w:sz w:val="32"/>
          <w:szCs w:val="32"/>
          <w:lang w:val="en-US" w:eastAsia="zh-CN"/>
        </w:rPr>
        <w:t>全部使用非税收入编制（其中公务接待费20万元，</w:t>
      </w:r>
      <w:r>
        <w:rPr>
          <w:rFonts w:hint="eastAsia" w:asciiTheme="minorEastAsia" w:hAnsiTheme="minorEastAsia" w:eastAsiaTheme="minorEastAsia"/>
          <w:sz w:val="32"/>
          <w:szCs w:val="32"/>
        </w:rPr>
        <w:t>公务用车购置费及运行维护费</w:t>
      </w:r>
      <w:r>
        <w:rPr>
          <w:rFonts w:hint="eastAsia" w:asciiTheme="minorEastAsia" w:hAnsiTheme="minorEastAsia" w:eastAsiaTheme="minorEastAsia"/>
          <w:sz w:val="32"/>
          <w:szCs w:val="32"/>
          <w:lang w:val="en-US" w:eastAsia="zh-CN"/>
        </w:rPr>
        <w:t>10万元），因此</w:t>
      </w: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4"/>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万元，截止2020年12月31日，我单位开支财政拨款的公务用车保有量为</w:t>
      </w:r>
      <w:r>
        <w:rPr>
          <w:rFonts w:hint="eastAsia" w:asciiTheme="minorEastAsia" w:hAnsiTheme="minorEastAsia"/>
          <w:sz w:val="32"/>
          <w:szCs w:val="32"/>
          <w:lang w:val="en-US" w:eastAsia="zh-CN"/>
        </w:rPr>
        <w:t>3</w:t>
      </w:r>
      <w:r>
        <w:rPr>
          <w:rFonts w:hint="eastAsia" w:asciiTheme="minorEastAsia" w:hAnsiTheme="minorEastAsia"/>
          <w:sz w:val="32"/>
          <w:szCs w:val="32"/>
        </w:rPr>
        <w:t>辆。</w:t>
      </w:r>
    </w:p>
    <w:p>
      <w:pPr>
        <w:pStyle w:val="14"/>
        <w:ind w:firstLine="640" w:firstLineChars="200"/>
        <w:rPr>
          <w:rFonts w:hAnsi="黑体"/>
          <w:b/>
          <w:sz w:val="32"/>
          <w:szCs w:val="32"/>
        </w:rPr>
      </w:pPr>
      <w:r>
        <w:rPr>
          <w:rFonts w:hint="eastAsia" w:hAnsi="黑体"/>
          <w:b/>
          <w:sz w:val="32"/>
          <w:szCs w:val="32"/>
        </w:rPr>
        <w:t>八、政府性基金预算收入支出决算情况</w:t>
      </w:r>
    </w:p>
    <w:p>
      <w:pPr>
        <w:pStyle w:val="14"/>
        <w:ind w:firstLine="640" w:firstLineChars="200"/>
        <w:rPr>
          <w:rFonts w:hint="eastAsia" w:asciiTheme="minorEastAsia" w:hAnsiTheme="minorEastAsia" w:eastAsiaTheme="minorEastAsia"/>
          <w:i/>
          <w:color w:val="000000" w:themeColor="text1"/>
          <w:sz w:val="32"/>
          <w:szCs w:val="32"/>
          <w:lang w:eastAsia="zh-CN"/>
          <w14:textFill>
            <w14:solidFill>
              <w14:schemeClr w14:val="tx1"/>
            </w14:solidFill>
          </w14:textFill>
        </w:rPr>
      </w:pPr>
      <w:r>
        <w:rPr>
          <w:rFonts w:hint="eastAsia" w:asciiTheme="minorEastAsia" w:hAnsiTheme="minorEastAsia" w:eastAsiaTheme="minorEastAsia"/>
          <w:i/>
          <w:color w:val="000000" w:themeColor="text1"/>
          <w:sz w:val="32"/>
          <w:szCs w:val="32"/>
          <w14:textFill>
            <w14:solidFill>
              <w14:schemeClr w14:val="tx1"/>
            </w14:solidFill>
          </w14:textFill>
        </w:rPr>
        <w:t>本单位无政府性基金收支</w:t>
      </w:r>
      <w:r>
        <w:rPr>
          <w:rFonts w:hint="eastAsia" w:asciiTheme="minorEastAsia" w:hAnsiTheme="minorEastAsia" w:eastAsiaTheme="minorEastAsia"/>
          <w:i/>
          <w:color w:val="000000" w:themeColor="text1"/>
          <w:sz w:val="32"/>
          <w:szCs w:val="32"/>
          <w:lang w:eastAsia="zh-CN"/>
          <w14:textFill>
            <w14:solidFill>
              <w14:schemeClr w14:val="tx1"/>
            </w14:solidFill>
          </w14:textFill>
        </w:rPr>
        <w:t>。</w:t>
      </w:r>
    </w:p>
    <w:p>
      <w:pPr>
        <w:pStyle w:val="14"/>
        <w:ind w:firstLine="640" w:firstLineChars="200"/>
        <w:rPr>
          <w:rFonts w:hAnsi="黑体"/>
          <w:b/>
          <w:sz w:val="32"/>
          <w:szCs w:val="32"/>
        </w:rPr>
      </w:pPr>
      <w:r>
        <w:rPr>
          <w:rFonts w:hint="eastAsia" w:hAnsi="黑体"/>
          <w:b/>
          <w:sz w:val="32"/>
          <w:szCs w:val="32"/>
        </w:rPr>
        <w:t>九、关于机关运行经费支出说明</w:t>
      </w:r>
    </w:p>
    <w:p>
      <w:pPr>
        <w:pStyle w:val="14"/>
        <w:ind w:firstLine="640" w:firstLineChars="200"/>
        <w:rPr>
          <w:rFonts w:hint="eastAsia" w:asciiTheme="minorEastAsia" w:hAnsiTheme="minorEastAsia" w:eastAsiaTheme="minorEastAsia"/>
          <w:i/>
          <w:color w:val="000000" w:themeColor="text1"/>
          <w:sz w:val="32"/>
          <w:szCs w:val="32"/>
          <w:lang w:eastAsia="zh-CN"/>
          <w14:textFill>
            <w14:solidFill>
              <w14:schemeClr w14:val="tx1"/>
            </w14:solidFill>
          </w14:textFill>
        </w:rPr>
      </w:pPr>
      <w:r>
        <w:rPr>
          <w:rFonts w:hint="eastAsia" w:asciiTheme="minorEastAsia" w:hAnsiTheme="minorEastAsia" w:eastAsiaTheme="minorEastAsia"/>
          <w:i/>
          <w:color w:val="000000" w:themeColor="text1"/>
          <w:sz w:val="32"/>
          <w:szCs w:val="32"/>
          <w14:textFill>
            <w14:solidFill>
              <w14:schemeClr w14:val="tx1"/>
            </w14:solidFill>
          </w14:textFill>
        </w:rPr>
        <w:t>本单位无</w:t>
      </w:r>
      <w:r>
        <w:rPr>
          <w:rFonts w:hint="eastAsia" w:asciiTheme="minorEastAsia" w:hAnsiTheme="minorEastAsia" w:eastAsiaTheme="minorEastAsia"/>
          <w:i/>
          <w:color w:val="000000" w:themeColor="text1"/>
          <w:sz w:val="32"/>
          <w:szCs w:val="32"/>
          <w:lang w:eastAsia="zh-CN"/>
          <w14:textFill>
            <w14:solidFill>
              <w14:schemeClr w14:val="tx1"/>
            </w14:solidFill>
          </w14:textFill>
        </w:rPr>
        <w:t>机关运行经费</w:t>
      </w:r>
      <w:r>
        <w:rPr>
          <w:rFonts w:hint="eastAsia" w:asciiTheme="minorEastAsia" w:hAnsiTheme="minorEastAsia" w:eastAsiaTheme="minorEastAsia"/>
          <w:i/>
          <w:color w:val="000000" w:themeColor="text1"/>
          <w:sz w:val="32"/>
          <w:szCs w:val="32"/>
          <w14:textFill>
            <w14:solidFill>
              <w14:schemeClr w14:val="tx1"/>
            </w14:solidFill>
          </w14:textFill>
        </w:rPr>
        <w:t>收支</w:t>
      </w:r>
      <w:r>
        <w:rPr>
          <w:rFonts w:hint="eastAsia" w:asciiTheme="minorEastAsia" w:hAnsiTheme="minorEastAsia" w:eastAsiaTheme="minorEastAsia"/>
          <w:i/>
          <w:color w:val="000000" w:themeColor="text1"/>
          <w:sz w:val="32"/>
          <w:szCs w:val="32"/>
          <w:lang w:eastAsia="zh-CN"/>
          <w14:textFill>
            <w14:solidFill>
              <w14:schemeClr w14:val="tx1"/>
            </w14:solidFill>
          </w14:textFill>
        </w:rPr>
        <w:t>。</w:t>
      </w:r>
    </w:p>
    <w:p>
      <w:pPr>
        <w:pStyle w:val="14"/>
        <w:ind w:firstLine="640" w:firstLineChars="200"/>
        <w:rPr>
          <w:rFonts w:hAnsi="黑体"/>
          <w:b/>
          <w:sz w:val="32"/>
          <w:szCs w:val="32"/>
        </w:rPr>
      </w:pPr>
      <w:r>
        <w:rPr>
          <w:rFonts w:hint="eastAsia" w:hAnsi="黑体"/>
          <w:b/>
          <w:sz w:val="32"/>
          <w:szCs w:val="32"/>
        </w:rPr>
        <w:t>十、一般性支出情况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24.08</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eastAsia="zh-CN"/>
        </w:rPr>
        <w:t>老师参加</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203</w:t>
      </w:r>
      <w:r>
        <w:rPr>
          <w:rFonts w:hint="eastAsia" w:asciiTheme="minorEastAsia" w:hAnsiTheme="minorEastAsia" w:eastAsiaTheme="minorEastAsia"/>
          <w:sz w:val="32"/>
          <w:szCs w:val="32"/>
        </w:rPr>
        <w:t>人，内容</w:t>
      </w:r>
      <w:r>
        <w:rPr>
          <w:rFonts w:hint="eastAsia" w:asciiTheme="minorEastAsia" w:hAnsiTheme="minorEastAsia" w:eastAsiaTheme="minorEastAsia"/>
          <w:sz w:val="32"/>
          <w:szCs w:val="32"/>
          <w:lang w:eastAsia="zh-CN"/>
        </w:rPr>
        <w:t>为双师型教师培训等。</w:t>
      </w:r>
    </w:p>
    <w:p>
      <w:pPr>
        <w:pStyle w:val="14"/>
        <w:ind w:firstLine="640" w:firstLineChars="200"/>
        <w:rPr>
          <w:rFonts w:hAnsi="黑体"/>
          <w:b/>
          <w:sz w:val="32"/>
          <w:szCs w:val="32"/>
        </w:rPr>
      </w:pPr>
      <w:r>
        <w:rPr>
          <w:rFonts w:hint="eastAsia" w:hAnsi="黑体"/>
          <w:b/>
          <w:sz w:val="32"/>
          <w:szCs w:val="32"/>
        </w:rPr>
        <w:t>十一、关于政府采购支出说明</w:t>
      </w:r>
    </w:p>
    <w:p>
      <w:pPr>
        <w:pStyle w:val="14"/>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1045.68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1045.68</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ind w:firstLine="640" w:firstLineChars="200"/>
        <w:rPr>
          <w:rFonts w:hAnsi="黑体"/>
          <w:b/>
          <w:sz w:val="32"/>
          <w:szCs w:val="32"/>
        </w:rPr>
      </w:pPr>
      <w:r>
        <w:rPr>
          <w:rFonts w:hint="eastAsia" w:hAnsi="黑体"/>
          <w:b/>
          <w:sz w:val="32"/>
          <w:szCs w:val="32"/>
        </w:rPr>
        <w:t>十二、关于国有资产占用情况说明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小型普通客车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4"/>
        <w:ind w:firstLine="640" w:firstLineChars="200"/>
        <w:rPr>
          <w:rFonts w:hint="eastAsia" w:hAnsi="黑体"/>
          <w:b/>
          <w:sz w:val="32"/>
          <w:szCs w:val="32"/>
        </w:rPr>
      </w:pPr>
    </w:p>
    <w:p>
      <w:pPr>
        <w:pStyle w:val="14"/>
        <w:ind w:firstLine="640" w:firstLineChars="200"/>
        <w:rPr>
          <w:rFonts w:hAnsi="黑体"/>
          <w:b/>
          <w:sz w:val="32"/>
          <w:szCs w:val="32"/>
        </w:rPr>
      </w:pPr>
      <w:r>
        <w:rPr>
          <w:rFonts w:hint="eastAsia" w:hAnsi="黑体"/>
          <w:b/>
          <w:sz w:val="32"/>
          <w:szCs w:val="32"/>
        </w:rPr>
        <w:t>十三、关于2020年度预算绩效情况的说明</w:t>
      </w:r>
    </w:p>
    <w:p>
      <w:pPr>
        <w:widowControl/>
        <w:ind w:firstLine="640" w:firstLineChars="200"/>
        <w:jc w:val="left"/>
        <w:rPr>
          <w:rFonts w:hint="default" w:eastAsia="黑体" w:asciiTheme="minorEastAsia" w:hAnsiTheme="minorEastAsia" w:cstheme="minorEastAsia"/>
          <w:b w:val="0"/>
          <w:bCs w:val="0"/>
          <w:color w:val="000000"/>
          <w:kern w:val="0"/>
          <w:sz w:val="32"/>
          <w:szCs w:val="32"/>
          <w:lang w:val="en-US" w:eastAsia="zh-CN"/>
        </w:rPr>
      </w:pPr>
      <w:r>
        <w:rPr>
          <w:rFonts w:hint="eastAsia" w:ascii="宋体" w:hAnsi="宋体" w:eastAsia="宋体" w:cs="宋体"/>
          <w:b w:val="0"/>
          <w:bCs w:val="0"/>
          <w:color w:val="000000"/>
          <w:kern w:val="0"/>
          <w:sz w:val="32"/>
          <w:szCs w:val="32"/>
          <w:lang w:eastAsia="zh-CN"/>
        </w:rPr>
        <w:t>我单位对</w:t>
      </w:r>
      <w:r>
        <w:rPr>
          <w:rFonts w:hint="eastAsia" w:ascii="宋体" w:hAnsi="宋体" w:eastAsia="宋体" w:cs="宋体"/>
          <w:b w:val="0"/>
          <w:bCs w:val="0"/>
          <w:color w:val="000000"/>
          <w:kern w:val="0"/>
          <w:sz w:val="32"/>
          <w:szCs w:val="32"/>
          <w:lang w:val="en-US" w:eastAsia="zh-CN"/>
        </w:rPr>
        <w:t>2020年度财政拨款项目支出开展了绩效自评工作，涉及资金3969.65万元，自评覆盖率达100%，2020年度部门整体支出绩效评价报告见附件。</w:t>
      </w:r>
    </w:p>
    <w:p>
      <w:pPr>
        <w:ind w:firstLine="640" w:firstLineChars="200"/>
        <w:jc w:val="center"/>
        <w:rPr>
          <w:rFonts w:hint="eastAsia" w:cs="黑体" w:asciiTheme="minorEastAsia" w:hAnsiTheme="minorEastAsia"/>
          <w:b/>
          <w:color w:val="000000"/>
          <w:kern w:val="0"/>
          <w:sz w:val="32"/>
          <w:szCs w:val="3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jc w:val="both"/>
        <w:rPr>
          <w:rFonts w:ascii="宋体" w:hAnsi="宋体" w:eastAsia="宋体" w:cs="宋体"/>
          <w:b w:val="0"/>
          <w:i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ascii="微软雅黑" w:hAnsi="微软雅黑" w:eastAsia="微软雅黑" w:cs="微软雅黑"/>
          <w:b w:val="0"/>
          <w:i w:val="0"/>
          <w:caps w:val="0"/>
          <w:color w:val="333333"/>
          <w:spacing w:val="0"/>
          <w:sz w:val="28"/>
          <w:szCs w:val="28"/>
        </w:rPr>
      </w:pPr>
      <w:r>
        <w:rPr>
          <w:rFonts w:hint="eastAsia" w:ascii="仿宋" w:hAnsi="仿宋" w:eastAsia="宋体" w:cs="仿宋"/>
          <w:b w:val="0"/>
          <w:i w:val="0"/>
          <w:caps w:val="0"/>
          <w:color w:val="333333"/>
          <w:spacing w:val="0"/>
          <w:sz w:val="28"/>
          <w:szCs w:val="28"/>
          <w:shd w:val="clear" w:fill="FFFFFF"/>
          <w:lang w:eastAsia="zh-CN"/>
        </w:rPr>
        <w:t>（</w:t>
      </w:r>
      <w:r>
        <w:rPr>
          <w:rFonts w:ascii="仿宋" w:hAnsi="仿宋" w:eastAsia="仿宋" w:cs="仿宋"/>
          <w:b w:val="0"/>
          <w:i w:val="0"/>
          <w:caps w:val="0"/>
          <w:color w:val="333333"/>
          <w:spacing w:val="0"/>
          <w:sz w:val="28"/>
          <w:szCs w:val="28"/>
          <w:shd w:val="clear" w:fill="FFFFFF"/>
        </w:rPr>
        <w:t>一）财政拨款收入：指同级财政当年拨付的资金。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（二）上级补助收入：指事业单位从主管部门和上级单位取得的非财政补助收入。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（三）事业收入：指事业单位开展专业业务活动及其辅助活动所取得的收入。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（四）经营收入：指事业单位在专业业务活动及其辅助活动之外开展非独立核算经营活动取得的收入。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（五）附属单位缴款：指事业单位附属的独立核算单位按有关规定上缴的收入。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（六）其他收入：指除上述“财政拨款收入”、“事业收入”、“经营收入”、“附属单位缴款”等之外取得的收入。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七）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（八）上年结转和结余：指以前年度支出预算因客观条件变化未执行完毕、结转到本年度按有关规定继续使用的资金，既包括财政拨款结转和结余，也包括事业收入、经营收入、其他收入的结转和结余。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（九）结余分配：反映单位当年结余的分配情况。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（十一）基本支出：指为保障机构正常运转、完成日常工作任务而发生的人员支出和公用支出。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（十二）项目支出：指在基本支出之外为完成特定行政任务和事业发展目标所发生的支出。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（十三）经营支出：指事业单位在专业业务活动及其辅助活动之外开展非独立核算经营活动发生的支出。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（十四）对附属单位补助支出：指事业单位发生的用非财政预算资金对附属单位的补助支出。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五）“三公”经费：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center"/>
        <w:rPr>
          <w:rFonts w:hint="eastAsia" w:cs="黑体" w:asciiTheme="minorEastAsia" w:hAnsiTheme="minorEastAsia"/>
          <w:b/>
          <w:color w:val="000000"/>
          <w:kern w:val="0"/>
          <w:sz w:val="32"/>
          <w:szCs w:val="32"/>
        </w:rPr>
      </w:pPr>
    </w:p>
    <w:p>
      <w:pPr>
        <w:ind w:firstLine="640" w:firstLineChars="200"/>
        <w:jc w:val="center"/>
        <w:rPr>
          <w:rFonts w:hint="eastAsia" w:cs="黑体" w:asciiTheme="minorEastAsia" w:hAnsiTheme="minorEastAsia"/>
          <w:b/>
          <w:color w:val="000000"/>
          <w:kern w:val="0"/>
          <w:sz w:val="32"/>
          <w:szCs w:val="32"/>
        </w:rPr>
      </w:pPr>
    </w:p>
    <w:p>
      <w:pPr>
        <w:pStyle w:val="14"/>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贯彻落实《中共中央国务院关于全面实施预算绩效管理的意见》（中发〔2018〕34号）和《中共湖南省委办公厅湖南省人民政府办公厅关于全面实施预算绩效管理的实施意见》（湘办发〔2019〕10号）要求，推进全过程绩效管理，强化支出责任意识，提高财政资金使用效益和管理水平，根据《中华人民共和国预算法》和《湖南省财政厅关于开展2020年度部门绩效自评工作的通知》（湘财绩〔2021〕1号），我们接受湖南省工业和信息化厅委托对湖南省汽车技师学院（以下简称“汽车学院”）进行绩效评价，成立了绩效评价工作组，并于2021年4月25日至4月30日对汽车学院2020年部门整体支出进行了绩效评价。绩效评价工作组采用查阅资料、现场查看、定量和定性分析等方法，对汽车学院的预算编制、执行、监督，资金分配、使用、监管以及财务会计信息、部门职责履行、项目组织管理、部门绩效完成情况等方面进行综合评价。现将绩效评价情况报告如下：</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一、单位基本情况</w:t>
      </w:r>
    </w:p>
    <w:p>
      <w:pPr>
        <w:ind w:firstLine="560"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（一）</w:t>
      </w:r>
      <w:r>
        <w:rPr>
          <w:rFonts w:hint="eastAsia" w:asciiTheme="minorEastAsia" w:hAnsiTheme="minorEastAsia" w:eastAsiaTheme="minorEastAsia" w:cstheme="minorEastAsia"/>
          <w:b/>
          <w:bCs/>
          <w:sz w:val="28"/>
          <w:szCs w:val="28"/>
        </w:rPr>
        <w:t>在职人员情况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2011年12月21日，湖南省机构编制委员会办公室下发《关于核定湖南省机械工业技术学院机构编制的函》（湘编办函</w:t>
      </w:r>
      <w:r>
        <w:rPr>
          <w:rFonts w:hint="eastAsia" w:ascii="宋体" w:hAnsi="宋体" w:cs="宋体"/>
          <w:sz w:val="28"/>
          <w:szCs w:val="28"/>
        </w:rPr>
        <w:t>〔2011〕190号</w:t>
      </w:r>
      <w:r>
        <w:rPr>
          <w:rFonts w:hint="eastAsia" w:asciiTheme="minorEastAsia" w:hAnsiTheme="minorEastAsia" w:cstheme="minorEastAsia"/>
          <w:sz w:val="28"/>
          <w:szCs w:val="28"/>
        </w:rPr>
        <w:t>），核定湖南省机械工业技术学院事业编制293名（原核定的153名事业编制予以核销），其中先期下达259名，预留34名。</w:t>
      </w:r>
    </w:p>
    <w:p>
      <w:pPr>
        <w:pStyle w:val="2"/>
        <w:spacing w:after="0"/>
        <w:ind w:firstLine="561"/>
        <w:rPr>
          <w:rFonts w:eastAsia="宋体" w:asciiTheme="minorEastAsia" w:hAnsiTheme="minorEastAsia" w:cstheme="minorEastAsia"/>
          <w:sz w:val="28"/>
          <w:szCs w:val="28"/>
        </w:rPr>
      </w:pPr>
      <w:r>
        <w:rPr>
          <w:rFonts w:hint="eastAsia" w:eastAsia="宋体" w:asciiTheme="minorEastAsia" w:hAnsiTheme="minorEastAsia" w:cstheme="minorEastAsia"/>
          <w:sz w:val="28"/>
          <w:szCs w:val="28"/>
        </w:rPr>
        <w:t>2014年1月13日，湖南省机构编制委员会办公室下发《关于同意湖南省机械工业技术学院更名的函》（湘编办函〔2011〕1号），同意湖南省机械工业技术学院更名为湖南省汽车技师学院。</w:t>
      </w:r>
    </w:p>
    <w:p>
      <w:pPr>
        <w:pStyle w:val="2"/>
        <w:spacing w:after="0"/>
        <w:ind w:firstLine="561"/>
        <w:rPr>
          <w:rFonts w:eastAsia="宋体" w:asciiTheme="minorEastAsia" w:hAnsiTheme="minorEastAsia" w:cstheme="minorEastAsia"/>
          <w:sz w:val="28"/>
          <w:szCs w:val="28"/>
        </w:rPr>
      </w:pPr>
      <w:r>
        <w:rPr>
          <w:rFonts w:hint="eastAsia" w:eastAsia="宋体" w:asciiTheme="minorEastAsia" w:hAnsiTheme="minorEastAsia" w:cstheme="minorEastAsia"/>
          <w:sz w:val="28"/>
          <w:szCs w:val="28"/>
        </w:rPr>
        <w:t>截至2020年12月31日，汽车学院事业编制259人，实有在职事业编制226人，另有</w:t>
      </w:r>
      <w:r>
        <w:rPr>
          <w:rFonts w:hint="eastAsia" w:eastAsia="宋体" w:asciiTheme="minorEastAsia" w:hAnsiTheme="minorEastAsia" w:cstheme="minorEastAsia"/>
          <w:sz w:val="28"/>
          <w:szCs w:val="28"/>
          <w:lang w:val="en-US" w:eastAsia="zh-CN"/>
        </w:rPr>
        <w:t>聘用人员69人，</w:t>
      </w:r>
      <w:r>
        <w:rPr>
          <w:rFonts w:hint="eastAsia" w:eastAsia="宋体" w:asciiTheme="minorEastAsia" w:hAnsiTheme="minorEastAsia" w:cstheme="minorEastAsia"/>
          <w:sz w:val="28"/>
          <w:szCs w:val="28"/>
        </w:rPr>
        <w:t>共有教职工295人。</w:t>
      </w:r>
    </w:p>
    <w:p>
      <w:pPr>
        <w:ind w:firstLine="560"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w:t>
      </w:r>
      <w:r>
        <w:rPr>
          <w:rFonts w:asciiTheme="minorEastAsia" w:hAnsiTheme="minorEastAsia" w:cstheme="minorEastAsia"/>
          <w:b/>
          <w:bCs/>
          <w:sz w:val="28"/>
          <w:szCs w:val="28"/>
        </w:rPr>
        <w:t>主要职能</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培养中、高级技术人才。提高社会职业素质，从事机械技术工人培训及相关技能培训。</w:t>
      </w:r>
    </w:p>
    <w:p>
      <w:pPr>
        <w:ind w:firstLine="560"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（三）2020年重点工作计划</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1、全面推进教育教学改革（一体化教学改革）；</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2、进一步推进长沙新校区建设；</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3、全面深化校企合作，产教融合；</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4、全面推进准军事化管理；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5、进一步完善学生心理健康问题解决方案；</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6、全面落实“五创建设”，创建省级文明单位；</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7、有效提升招生质量，2020年新生控制在1500人左右；</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8、启动新的人事管理制度，面向社会引进三高人才，有效改善师资队伍结构，提升师资队伍质量；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9、创建幸福校园。</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二、一般公共预算支出情况</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（一）部门支出总体情况</w:t>
      </w:r>
    </w:p>
    <w:p>
      <w:pPr>
        <w:spacing w:line="54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2020年2月6日，《湖南省财政厅关于2020年有关省直单位部门预算的批复》（湘财预</w:t>
      </w:r>
      <w:r>
        <w:rPr>
          <w:rFonts w:hint="eastAsia" w:ascii="宋体" w:hAnsi="宋体" w:cs="宋体"/>
          <w:sz w:val="28"/>
          <w:szCs w:val="28"/>
        </w:rPr>
        <w:t>〔2020〕27号</w:t>
      </w:r>
      <w:r>
        <w:rPr>
          <w:rFonts w:hint="eastAsia" w:asciiTheme="minorEastAsia" w:hAnsiTheme="minorEastAsia" w:cstheme="minorEastAsia"/>
          <w:sz w:val="28"/>
          <w:szCs w:val="28"/>
        </w:rPr>
        <w:t>），批复汽车学院2020年部门预算4,739.95万元，其中：基本支出4,546.02万元，项目支出193.93万元。一般公共预算拨款收入3,619.95万元，事业收入1,120.00万元。</w:t>
      </w:r>
    </w:p>
    <w:p>
      <w:pPr>
        <w:spacing w:line="54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本年财政拨款追加2,744.15万元，实际财政拨款收入6,364.10万元，事业收入1,219.44万元，全年收入共计7,583.54万元。全年财政拨款支出7,914.69万元，其中：基本支出4,987.21万元，项目支出2,927.48万元。本年结转结余-331.15万元，上年结余1,472.76万元，累计结余1,141.61万元（其中：一般财政拨款收入结余1,042.17万元，事业收入结余99.44万元）。总体情况如下表所示：</w:t>
      </w:r>
    </w:p>
    <w:p>
      <w:pPr>
        <w:spacing w:line="540" w:lineRule="exact"/>
        <w:ind w:firstLine="560"/>
        <w:jc w:val="right"/>
        <w:rPr>
          <w:rFonts w:asciiTheme="minorEastAsia" w:hAnsiTheme="minorEastAsia" w:cstheme="minorEastAsia"/>
          <w:sz w:val="28"/>
          <w:szCs w:val="28"/>
        </w:rPr>
      </w:pPr>
      <w:r>
        <w:rPr>
          <w:rFonts w:hint="eastAsia" w:asciiTheme="minorEastAsia" w:hAnsiTheme="minorEastAsia" w:cstheme="minorEastAsia"/>
          <w:szCs w:val="21"/>
        </w:rPr>
        <w:t>单位：万元</w:t>
      </w:r>
    </w:p>
    <w:tbl>
      <w:tblPr>
        <w:tblStyle w:val="9"/>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9"/>
        <w:gridCol w:w="1202"/>
        <w:gridCol w:w="970"/>
        <w:gridCol w:w="1721"/>
        <w:gridCol w:w="1166"/>
        <w:gridCol w:w="1149"/>
        <w:gridCol w:w="941"/>
        <w:gridCol w:w="745"/>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tblHeader/>
        </w:trPr>
        <w:tc>
          <w:tcPr>
            <w:tcW w:w="575"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项目大类</w:t>
            </w:r>
          </w:p>
        </w:tc>
        <w:tc>
          <w:tcPr>
            <w:tcW w:w="553"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本年年初预算</w:t>
            </w:r>
          </w:p>
        </w:tc>
        <w:tc>
          <w:tcPr>
            <w:tcW w:w="446"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本年追加</w:t>
            </w:r>
          </w:p>
        </w:tc>
        <w:tc>
          <w:tcPr>
            <w:tcW w:w="792"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本年财政拨款收入小计</w:t>
            </w:r>
          </w:p>
        </w:tc>
        <w:tc>
          <w:tcPr>
            <w:tcW w:w="537"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事业收入</w:t>
            </w:r>
          </w:p>
        </w:tc>
        <w:tc>
          <w:tcPr>
            <w:tcW w:w="529"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本年支出</w:t>
            </w:r>
          </w:p>
        </w:tc>
        <w:tc>
          <w:tcPr>
            <w:tcW w:w="433"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上年结余</w:t>
            </w:r>
          </w:p>
        </w:tc>
        <w:tc>
          <w:tcPr>
            <w:tcW w:w="343"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本年结余</w:t>
            </w:r>
          </w:p>
        </w:tc>
        <w:tc>
          <w:tcPr>
            <w:tcW w:w="788"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累计结余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trPr>
        <w:tc>
          <w:tcPr>
            <w:tcW w:w="575" w:type="pct"/>
            <w:shd w:val="clear" w:color="000000" w:fill="FFFFFF"/>
            <w:vAlign w:val="center"/>
          </w:tcPr>
          <w:p>
            <w:pPr>
              <w:widowControl/>
              <w:jc w:val="center"/>
              <w:rPr>
                <w:rFonts w:ascii="宋体" w:hAnsi="宋体" w:cs="宋体"/>
                <w:szCs w:val="21"/>
              </w:rPr>
            </w:pPr>
            <w:r>
              <w:rPr>
                <w:rFonts w:hint="eastAsia" w:ascii="宋体" w:hAnsi="宋体" w:cs="宋体"/>
                <w:szCs w:val="21"/>
              </w:rPr>
              <w:t>基本支出</w:t>
            </w:r>
          </w:p>
        </w:tc>
        <w:tc>
          <w:tcPr>
            <w:tcW w:w="553" w:type="pct"/>
            <w:shd w:val="clear" w:color="000000" w:fill="FFFFFF"/>
            <w:vAlign w:val="center"/>
          </w:tcPr>
          <w:p>
            <w:pPr>
              <w:jc w:val="right"/>
              <w:rPr>
                <w:bCs/>
                <w:sz w:val="18"/>
                <w:szCs w:val="18"/>
              </w:rPr>
            </w:pPr>
            <w:r>
              <w:rPr>
                <w:rFonts w:hint="eastAsia"/>
                <w:bCs/>
                <w:sz w:val="18"/>
                <w:szCs w:val="18"/>
              </w:rPr>
              <w:t>4,546.02</w:t>
            </w:r>
          </w:p>
        </w:tc>
        <w:tc>
          <w:tcPr>
            <w:tcW w:w="446" w:type="pct"/>
            <w:vMerge w:val="restart"/>
            <w:shd w:val="clear" w:color="000000" w:fill="FFFFFF"/>
            <w:vAlign w:val="center"/>
          </w:tcPr>
          <w:p>
            <w:pPr>
              <w:jc w:val="right"/>
              <w:rPr>
                <w:bCs/>
                <w:sz w:val="18"/>
                <w:szCs w:val="18"/>
              </w:rPr>
            </w:pPr>
            <w:r>
              <w:rPr>
                <w:rFonts w:hint="eastAsia"/>
                <w:bCs/>
                <w:sz w:val="18"/>
                <w:szCs w:val="18"/>
              </w:rPr>
              <w:t>2,744.15</w:t>
            </w:r>
          </w:p>
        </w:tc>
        <w:tc>
          <w:tcPr>
            <w:tcW w:w="792" w:type="pct"/>
            <w:vMerge w:val="restart"/>
            <w:shd w:val="clear" w:color="000000" w:fill="FFFFFF"/>
            <w:vAlign w:val="center"/>
          </w:tcPr>
          <w:p>
            <w:pPr>
              <w:jc w:val="right"/>
              <w:rPr>
                <w:bCs/>
                <w:sz w:val="18"/>
                <w:szCs w:val="18"/>
              </w:rPr>
            </w:pPr>
            <w:r>
              <w:rPr>
                <w:rFonts w:hint="eastAsia"/>
                <w:bCs/>
                <w:sz w:val="18"/>
                <w:szCs w:val="18"/>
              </w:rPr>
              <w:t>6,364.10</w:t>
            </w:r>
          </w:p>
        </w:tc>
        <w:tc>
          <w:tcPr>
            <w:tcW w:w="537" w:type="pct"/>
            <w:vMerge w:val="restart"/>
            <w:vAlign w:val="center"/>
          </w:tcPr>
          <w:p>
            <w:pPr>
              <w:jc w:val="right"/>
              <w:rPr>
                <w:bCs/>
                <w:sz w:val="18"/>
                <w:szCs w:val="18"/>
              </w:rPr>
            </w:pPr>
            <w:r>
              <w:rPr>
                <w:rFonts w:hint="eastAsia"/>
                <w:bCs/>
                <w:sz w:val="18"/>
                <w:szCs w:val="18"/>
              </w:rPr>
              <w:t>1,219.44</w:t>
            </w:r>
          </w:p>
        </w:tc>
        <w:tc>
          <w:tcPr>
            <w:tcW w:w="529" w:type="pct"/>
            <w:noWrap/>
            <w:vAlign w:val="center"/>
          </w:tcPr>
          <w:p>
            <w:pPr>
              <w:jc w:val="right"/>
              <w:rPr>
                <w:bCs/>
                <w:sz w:val="18"/>
                <w:szCs w:val="18"/>
              </w:rPr>
            </w:pPr>
            <w:r>
              <w:rPr>
                <w:rFonts w:hint="eastAsia"/>
                <w:bCs/>
                <w:sz w:val="18"/>
                <w:szCs w:val="18"/>
              </w:rPr>
              <w:t>4,987.21</w:t>
            </w:r>
            <w:r>
              <w:rPr>
                <w:bCs/>
                <w:sz w:val="18"/>
                <w:szCs w:val="18"/>
              </w:rPr>
              <w:t>‬</w:t>
            </w:r>
          </w:p>
        </w:tc>
        <w:tc>
          <w:tcPr>
            <w:tcW w:w="433" w:type="pct"/>
            <w:vMerge w:val="restart"/>
            <w:noWrap/>
            <w:vAlign w:val="center"/>
          </w:tcPr>
          <w:p>
            <w:pPr>
              <w:jc w:val="right"/>
              <w:rPr>
                <w:rFonts w:eastAsiaTheme="minorEastAsia"/>
                <w:bCs/>
                <w:sz w:val="18"/>
                <w:szCs w:val="18"/>
              </w:rPr>
            </w:pPr>
            <w:r>
              <w:rPr>
                <w:rFonts w:hint="eastAsia" w:eastAsiaTheme="minorEastAsia"/>
                <w:bCs/>
                <w:sz w:val="18"/>
                <w:szCs w:val="18"/>
              </w:rPr>
              <w:t>1,472.76</w:t>
            </w:r>
          </w:p>
        </w:tc>
        <w:tc>
          <w:tcPr>
            <w:tcW w:w="343" w:type="pct"/>
            <w:vMerge w:val="restart"/>
            <w:noWrap/>
            <w:vAlign w:val="center"/>
          </w:tcPr>
          <w:p>
            <w:pPr>
              <w:jc w:val="right"/>
              <w:rPr>
                <w:rFonts w:eastAsiaTheme="minorEastAsia"/>
                <w:bCs/>
                <w:sz w:val="18"/>
                <w:szCs w:val="18"/>
              </w:rPr>
            </w:pPr>
            <w:r>
              <w:rPr>
                <w:rFonts w:hint="eastAsia" w:eastAsiaTheme="minorEastAsia"/>
                <w:bCs/>
                <w:sz w:val="18"/>
                <w:szCs w:val="18"/>
              </w:rPr>
              <w:t>-331.15</w:t>
            </w:r>
          </w:p>
        </w:tc>
        <w:tc>
          <w:tcPr>
            <w:tcW w:w="788" w:type="pct"/>
            <w:vMerge w:val="restart"/>
            <w:noWrap/>
            <w:vAlign w:val="center"/>
          </w:tcPr>
          <w:p>
            <w:pPr>
              <w:jc w:val="right"/>
              <w:rPr>
                <w:rFonts w:eastAsiaTheme="minorEastAsia"/>
                <w:bCs/>
                <w:sz w:val="18"/>
                <w:szCs w:val="18"/>
              </w:rPr>
            </w:pPr>
            <w:r>
              <w:rPr>
                <w:rFonts w:hint="eastAsia" w:eastAsiaTheme="minorEastAsia"/>
                <w:bCs/>
                <w:sz w:val="18"/>
                <w:szCs w:val="18"/>
              </w:rPr>
              <w:t>1,141.61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trPr>
        <w:tc>
          <w:tcPr>
            <w:tcW w:w="575" w:type="pct"/>
            <w:shd w:val="clear" w:color="000000" w:fill="FFFFFF"/>
            <w:noWrap/>
            <w:vAlign w:val="center"/>
          </w:tcPr>
          <w:p>
            <w:pPr>
              <w:widowControl/>
              <w:jc w:val="center"/>
              <w:rPr>
                <w:rFonts w:ascii="宋体" w:hAnsi="宋体" w:cs="宋体"/>
                <w:szCs w:val="21"/>
              </w:rPr>
            </w:pPr>
            <w:r>
              <w:rPr>
                <w:rFonts w:hint="eastAsia" w:ascii="宋体" w:hAnsi="宋体" w:cs="宋体"/>
                <w:szCs w:val="21"/>
              </w:rPr>
              <w:t>项目支出</w:t>
            </w:r>
          </w:p>
        </w:tc>
        <w:tc>
          <w:tcPr>
            <w:tcW w:w="553" w:type="pct"/>
            <w:vAlign w:val="center"/>
          </w:tcPr>
          <w:p>
            <w:pPr>
              <w:jc w:val="right"/>
              <w:rPr>
                <w:bCs/>
                <w:sz w:val="18"/>
                <w:szCs w:val="18"/>
              </w:rPr>
            </w:pPr>
            <w:r>
              <w:rPr>
                <w:rFonts w:hint="eastAsia"/>
                <w:bCs/>
                <w:sz w:val="18"/>
                <w:szCs w:val="18"/>
              </w:rPr>
              <w:t>193.93</w:t>
            </w:r>
          </w:p>
        </w:tc>
        <w:tc>
          <w:tcPr>
            <w:tcW w:w="446" w:type="pct"/>
            <w:vMerge w:val="continue"/>
            <w:noWrap/>
            <w:vAlign w:val="center"/>
          </w:tcPr>
          <w:p>
            <w:pPr>
              <w:jc w:val="right"/>
              <w:rPr>
                <w:bCs/>
                <w:sz w:val="18"/>
                <w:szCs w:val="18"/>
              </w:rPr>
            </w:pPr>
          </w:p>
        </w:tc>
        <w:tc>
          <w:tcPr>
            <w:tcW w:w="792" w:type="pct"/>
            <w:vMerge w:val="continue"/>
            <w:noWrap/>
            <w:vAlign w:val="center"/>
          </w:tcPr>
          <w:p>
            <w:pPr>
              <w:jc w:val="right"/>
              <w:rPr>
                <w:bCs/>
                <w:sz w:val="18"/>
                <w:szCs w:val="18"/>
              </w:rPr>
            </w:pPr>
          </w:p>
        </w:tc>
        <w:tc>
          <w:tcPr>
            <w:tcW w:w="537" w:type="pct"/>
            <w:vMerge w:val="continue"/>
            <w:vAlign w:val="center"/>
          </w:tcPr>
          <w:p>
            <w:pPr>
              <w:jc w:val="right"/>
              <w:rPr>
                <w:bCs/>
                <w:sz w:val="18"/>
                <w:szCs w:val="18"/>
              </w:rPr>
            </w:pPr>
          </w:p>
        </w:tc>
        <w:tc>
          <w:tcPr>
            <w:tcW w:w="529" w:type="pct"/>
            <w:noWrap/>
            <w:vAlign w:val="center"/>
          </w:tcPr>
          <w:p>
            <w:pPr>
              <w:jc w:val="right"/>
              <w:rPr>
                <w:bCs/>
                <w:sz w:val="18"/>
                <w:szCs w:val="18"/>
              </w:rPr>
            </w:pPr>
            <w:r>
              <w:rPr>
                <w:rFonts w:hint="eastAsia"/>
                <w:bCs/>
                <w:sz w:val="18"/>
                <w:szCs w:val="18"/>
              </w:rPr>
              <w:t>2,927.48</w:t>
            </w:r>
          </w:p>
        </w:tc>
        <w:tc>
          <w:tcPr>
            <w:tcW w:w="433" w:type="pct"/>
            <w:vMerge w:val="continue"/>
            <w:noWrap/>
            <w:vAlign w:val="center"/>
          </w:tcPr>
          <w:p>
            <w:pPr>
              <w:jc w:val="right"/>
              <w:rPr>
                <w:sz w:val="18"/>
                <w:szCs w:val="18"/>
              </w:rPr>
            </w:pPr>
          </w:p>
        </w:tc>
        <w:tc>
          <w:tcPr>
            <w:tcW w:w="343" w:type="pct"/>
            <w:vMerge w:val="continue"/>
            <w:noWrap/>
            <w:vAlign w:val="center"/>
          </w:tcPr>
          <w:p>
            <w:pPr>
              <w:jc w:val="right"/>
              <w:rPr>
                <w:sz w:val="18"/>
                <w:szCs w:val="18"/>
              </w:rPr>
            </w:pPr>
          </w:p>
        </w:tc>
        <w:tc>
          <w:tcPr>
            <w:tcW w:w="788" w:type="pct"/>
            <w:vMerge w:val="continue"/>
            <w:noWrap/>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0" w:hRule="atLeast"/>
        </w:trPr>
        <w:tc>
          <w:tcPr>
            <w:tcW w:w="575"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合计</w:t>
            </w:r>
          </w:p>
        </w:tc>
        <w:tc>
          <w:tcPr>
            <w:tcW w:w="553" w:type="pct"/>
            <w:vAlign w:val="center"/>
          </w:tcPr>
          <w:p>
            <w:pPr>
              <w:jc w:val="right"/>
              <w:rPr>
                <w:b/>
                <w:color w:val="000000"/>
                <w:sz w:val="18"/>
                <w:szCs w:val="18"/>
              </w:rPr>
            </w:pPr>
            <w:r>
              <w:rPr>
                <w:rFonts w:hint="eastAsia"/>
                <w:b/>
                <w:color w:val="000000"/>
                <w:sz w:val="18"/>
                <w:szCs w:val="18"/>
              </w:rPr>
              <w:t>4,739.95</w:t>
            </w:r>
          </w:p>
        </w:tc>
        <w:tc>
          <w:tcPr>
            <w:tcW w:w="446" w:type="pct"/>
            <w:noWrap/>
            <w:vAlign w:val="center"/>
          </w:tcPr>
          <w:p>
            <w:pPr>
              <w:jc w:val="right"/>
              <w:rPr>
                <w:b/>
                <w:color w:val="000000"/>
                <w:sz w:val="18"/>
                <w:szCs w:val="18"/>
              </w:rPr>
            </w:pPr>
            <w:r>
              <w:rPr>
                <w:rFonts w:hint="eastAsia"/>
                <w:b/>
                <w:sz w:val="18"/>
                <w:szCs w:val="18"/>
              </w:rPr>
              <w:t>2,744.15</w:t>
            </w:r>
          </w:p>
        </w:tc>
        <w:tc>
          <w:tcPr>
            <w:tcW w:w="792" w:type="pct"/>
            <w:noWrap/>
            <w:vAlign w:val="center"/>
          </w:tcPr>
          <w:p>
            <w:pPr>
              <w:jc w:val="right"/>
              <w:rPr>
                <w:b/>
                <w:color w:val="000000"/>
                <w:sz w:val="18"/>
                <w:szCs w:val="18"/>
              </w:rPr>
            </w:pPr>
            <w:r>
              <w:rPr>
                <w:rFonts w:hint="eastAsia"/>
                <w:b/>
                <w:sz w:val="18"/>
                <w:szCs w:val="18"/>
              </w:rPr>
              <w:t>6,364.10</w:t>
            </w:r>
          </w:p>
        </w:tc>
        <w:tc>
          <w:tcPr>
            <w:tcW w:w="537" w:type="pct"/>
            <w:vAlign w:val="center"/>
          </w:tcPr>
          <w:p>
            <w:pPr>
              <w:jc w:val="right"/>
              <w:rPr>
                <w:b/>
                <w:sz w:val="18"/>
                <w:szCs w:val="18"/>
              </w:rPr>
            </w:pPr>
            <w:r>
              <w:rPr>
                <w:rFonts w:hint="eastAsia"/>
                <w:b/>
                <w:sz w:val="18"/>
                <w:szCs w:val="18"/>
              </w:rPr>
              <w:t>1,219.44</w:t>
            </w:r>
          </w:p>
        </w:tc>
        <w:tc>
          <w:tcPr>
            <w:tcW w:w="529" w:type="pct"/>
            <w:noWrap/>
            <w:vAlign w:val="center"/>
          </w:tcPr>
          <w:p>
            <w:pPr>
              <w:jc w:val="right"/>
              <w:rPr>
                <w:b/>
                <w:color w:val="000000"/>
                <w:sz w:val="18"/>
                <w:szCs w:val="18"/>
              </w:rPr>
            </w:pPr>
            <w:r>
              <w:rPr>
                <w:rFonts w:hint="eastAsia"/>
                <w:b/>
                <w:color w:val="000000"/>
                <w:sz w:val="18"/>
                <w:szCs w:val="18"/>
              </w:rPr>
              <w:t>7,914.69</w:t>
            </w:r>
          </w:p>
        </w:tc>
        <w:tc>
          <w:tcPr>
            <w:tcW w:w="433" w:type="pct"/>
            <w:noWrap/>
            <w:vAlign w:val="center"/>
          </w:tcPr>
          <w:p>
            <w:pPr>
              <w:jc w:val="right"/>
              <w:rPr>
                <w:rFonts w:eastAsiaTheme="minorEastAsia"/>
                <w:b/>
                <w:sz w:val="18"/>
                <w:szCs w:val="18"/>
              </w:rPr>
            </w:pPr>
            <w:r>
              <w:rPr>
                <w:rFonts w:hint="eastAsia" w:eastAsiaTheme="minorEastAsia"/>
                <w:b/>
                <w:sz w:val="18"/>
                <w:szCs w:val="18"/>
              </w:rPr>
              <w:t>1,472.76</w:t>
            </w:r>
          </w:p>
        </w:tc>
        <w:tc>
          <w:tcPr>
            <w:tcW w:w="343" w:type="pct"/>
            <w:noWrap/>
            <w:vAlign w:val="center"/>
          </w:tcPr>
          <w:p>
            <w:pPr>
              <w:jc w:val="right"/>
              <w:rPr>
                <w:b/>
                <w:color w:val="000000"/>
                <w:sz w:val="18"/>
                <w:szCs w:val="18"/>
              </w:rPr>
            </w:pPr>
            <w:r>
              <w:rPr>
                <w:rFonts w:hint="eastAsia" w:eastAsiaTheme="minorEastAsia"/>
                <w:b/>
                <w:sz w:val="18"/>
                <w:szCs w:val="18"/>
              </w:rPr>
              <w:t>-331.15</w:t>
            </w:r>
          </w:p>
        </w:tc>
        <w:tc>
          <w:tcPr>
            <w:tcW w:w="788" w:type="pct"/>
            <w:noWrap/>
            <w:vAlign w:val="center"/>
          </w:tcPr>
          <w:p>
            <w:pPr>
              <w:jc w:val="right"/>
              <w:rPr>
                <w:rFonts w:eastAsiaTheme="minorEastAsia"/>
                <w:b/>
                <w:sz w:val="18"/>
                <w:szCs w:val="18"/>
              </w:rPr>
            </w:pPr>
            <w:r>
              <w:rPr>
                <w:rFonts w:hint="eastAsia" w:eastAsiaTheme="minorEastAsia"/>
                <w:b/>
                <w:sz w:val="18"/>
                <w:szCs w:val="18"/>
              </w:rPr>
              <w:t>1,141.61</w:t>
            </w:r>
          </w:p>
        </w:tc>
      </w:tr>
    </w:tbl>
    <w:p>
      <w:pPr>
        <w:spacing w:before="156" w:beforeLines="5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（二）基本支出情况</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1、基本支出使用明细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基本支出主要为保障单位机构正常运转、完成日常工作任务而发生的各项支出，包括工资福利支出、对个人和家庭的补助等人员经费和办公费、邮电费、差旅费、维修费、劳务费等日常公用经费。具体明细表如下表所示：</w:t>
      </w:r>
    </w:p>
    <w:p>
      <w:pPr>
        <w:ind w:firstLine="361"/>
        <w:jc w:val="center"/>
        <w:rPr>
          <w:b/>
          <w:sz w:val="24"/>
        </w:rPr>
      </w:pPr>
      <w:r>
        <w:rPr>
          <w:b/>
          <w:sz w:val="24"/>
        </w:rPr>
        <w:t>20</w:t>
      </w:r>
      <w:r>
        <w:rPr>
          <w:rFonts w:hint="eastAsia"/>
          <w:b/>
          <w:sz w:val="24"/>
        </w:rPr>
        <w:t>20</w:t>
      </w:r>
      <w:r>
        <w:rPr>
          <w:b/>
          <w:sz w:val="24"/>
        </w:rPr>
        <w:t>年</w:t>
      </w:r>
      <w:r>
        <w:rPr>
          <w:rFonts w:hint="eastAsia"/>
          <w:b/>
          <w:sz w:val="24"/>
        </w:rPr>
        <w:t>汽车学院</w:t>
      </w:r>
      <w:r>
        <w:rPr>
          <w:b/>
          <w:sz w:val="24"/>
        </w:rPr>
        <w:t>基本支出预算数与决算数对比表</w:t>
      </w:r>
    </w:p>
    <w:p>
      <w:pPr>
        <w:ind w:firstLine="361"/>
        <w:jc w:val="right"/>
        <w:rPr>
          <w:bCs/>
          <w:sz w:val="18"/>
        </w:rPr>
      </w:pPr>
      <w:r>
        <w:rPr>
          <w:bCs/>
          <w:sz w:val="24"/>
        </w:rPr>
        <w:t>单位：</w:t>
      </w:r>
      <w:r>
        <w:rPr>
          <w:rFonts w:hint="eastAsia"/>
          <w:bCs/>
          <w:sz w:val="24"/>
        </w:rPr>
        <w:t>万</w:t>
      </w:r>
      <w:r>
        <w:rPr>
          <w:bCs/>
          <w:sz w:val="24"/>
        </w:rPr>
        <w:t>元</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667"/>
        <w:gridCol w:w="1921"/>
        <w:gridCol w:w="2047"/>
        <w:gridCol w:w="20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blHeader/>
        </w:trPr>
        <w:tc>
          <w:tcPr>
            <w:tcW w:w="2185"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项目</w:t>
            </w:r>
          </w:p>
        </w:tc>
        <w:tc>
          <w:tcPr>
            <w:tcW w:w="899"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年初预算数</w:t>
            </w:r>
          </w:p>
        </w:tc>
        <w:tc>
          <w:tcPr>
            <w:tcW w:w="958" w:type="pct"/>
            <w:vAlign w:val="center"/>
          </w:tcPr>
          <w:p>
            <w:pPr>
              <w:widowControl/>
              <w:jc w:val="center"/>
              <w:rPr>
                <w:rFonts w:ascii="宋体" w:hAnsi="宋体" w:cs="宋体"/>
                <w:b/>
                <w:bCs/>
                <w:color w:val="000000"/>
                <w:sz w:val="22"/>
              </w:rPr>
            </w:pPr>
            <w:r>
              <w:rPr>
                <w:rFonts w:hint="eastAsia" w:ascii="宋体" w:hAnsi="宋体" w:cs="宋体"/>
                <w:b/>
                <w:bCs/>
                <w:color w:val="000000"/>
                <w:sz w:val="22"/>
              </w:rPr>
              <w:t>调整预算数</w:t>
            </w:r>
          </w:p>
        </w:tc>
        <w:tc>
          <w:tcPr>
            <w:tcW w:w="958"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决算数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3" w:hRule="atLeast"/>
        </w:trPr>
        <w:tc>
          <w:tcPr>
            <w:tcW w:w="2185" w:type="pct"/>
            <w:noWrap/>
            <w:vAlign w:val="center"/>
          </w:tcPr>
          <w:p>
            <w:pPr>
              <w:widowControl/>
              <w:rPr>
                <w:rFonts w:ascii="宋体" w:hAnsi="宋体" w:cs="宋体"/>
                <w:szCs w:val="21"/>
              </w:rPr>
            </w:pPr>
            <w:r>
              <w:rPr>
                <w:rFonts w:hint="eastAsia" w:ascii="宋体" w:hAnsi="宋体" w:cs="宋体"/>
                <w:szCs w:val="21"/>
              </w:rPr>
              <w:t>工资福利支出</w:t>
            </w:r>
          </w:p>
        </w:tc>
        <w:tc>
          <w:tcPr>
            <w:tcW w:w="899" w:type="pct"/>
            <w:noWrap/>
            <w:vAlign w:val="center"/>
          </w:tcPr>
          <w:p>
            <w:pPr>
              <w:widowControl/>
              <w:jc w:val="right"/>
              <w:rPr>
                <w:rFonts w:eastAsiaTheme="minorEastAsia"/>
                <w:szCs w:val="21"/>
              </w:rPr>
            </w:pPr>
            <w:r>
              <w:rPr>
                <w:rFonts w:hint="eastAsia" w:eastAsiaTheme="minorEastAsia"/>
                <w:szCs w:val="21"/>
              </w:rPr>
              <w:t>3,500.00</w:t>
            </w:r>
          </w:p>
        </w:tc>
        <w:tc>
          <w:tcPr>
            <w:tcW w:w="1633" w:type="dxa"/>
            <w:vAlign w:val="center"/>
          </w:tcPr>
          <w:p>
            <w:pPr>
              <w:widowControl/>
              <w:jc w:val="right"/>
              <w:rPr>
                <w:szCs w:val="21"/>
              </w:rPr>
            </w:pPr>
            <w:r>
              <w:rPr>
                <w:rFonts w:hint="eastAsia"/>
                <w:szCs w:val="21"/>
              </w:rPr>
              <w:t>3,807.89</w:t>
            </w:r>
          </w:p>
        </w:tc>
        <w:tc>
          <w:tcPr>
            <w:tcW w:w="1633" w:type="dxa"/>
            <w:noWrap/>
            <w:vAlign w:val="center"/>
          </w:tcPr>
          <w:p>
            <w:pPr>
              <w:widowControl/>
              <w:jc w:val="right"/>
              <w:rPr>
                <w:szCs w:val="21"/>
              </w:rPr>
            </w:pPr>
            <w:r>
              <w:rPr>
                <w:rFonts w:hint="eastAsia"/>
                <w:szCs w:val="21"/>
              </w:rPr>
              <w:t>3,807.89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rPr>
                <w:rFonts w:ascii="宋体" w:hAnsi="宋体" w:cs="宋体"/>
                <w:szCs w:val="21"/>
              </w:rPr>
            </w:pPr>
            <w:r>
              <w:rPr>
                <w:rFonts w:hint="eastAsia" w:ascii="宋体" w:hAnsi="宋体" w:cs="宋体"/>
                <w:szCs w:val="21"/>
              </w:rPr>
              <w:t>对个人和家庭的补助</w:t>
            </w:r>
          </w:p>
        </w:tc>
        <w:tc>
          <w:tcPr>
            <w:tcW w:w="899" w:type="pct"/>
            <w:noWrap/>
            <w:vAlign w:val="center"/>
          </w:tcPr>
          <w:p>
            <w:pPr>
              <w:widowControl/>
              <w:jc w:val="right"/>
              <w:rPr>
                <w:rFonts w:eastAsiaTheme="minorEastAsia"/>
                <w:szCs w:val="21"/>
              </w:rPr>
            </w:pPr>
            <w:r>
              <w:rPr>
                <w:rFonts w:hint="eastAsia"/>
                <w:szCs w:val="21"/>
              </w:rPr>
              <w:t>-</w:t>
            </w:r>
          </w:p>
        </w:tc>
        <w:tc>
          <w:tcPr>
            <w:tcW w:w="1633" w:type="dxa"/>
            <w:vAlign w:val="center"/>
          </w:tcPr>
          <w:p>
            <w:pPr>
              <w:widowControl/>
              <w:jc w:val="right"/>
              <w:rPr>
                <w:szCs w:val="21"/>
              </w:rPr>
            </w:pPr>
            <w:r>
              <w:rPr>
                <w:rFonts w:hint="eastAsia"/>
                <w:szCs w:val="21"/>
              </w:rPr>
              <w:t>-</w:t>
            </w:r>
          </w:p>
        </w:tc>
        <w:tc>
          <w:tcPr>
            <w:tcW w:w="1633" w:type="dxa"/>
            <w:noWrap/>
            <w:vAlign w:val="center"/>
          </w:tcPr>
          <w:p>
            <w:pPr>
              <w:widowControl/>
              <w:jc w:val="right"/>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center"/>
              <w:rPr>
                <w:rFonts w:ascii="宋体" w:hAnsi="宋体" w:cs="宋体"/>
                <w:b/>
                <w:bCs/>
                <w:szCs w:val="21"/>
              </w:rPr>
            </w:pPr>
            <w:r>
              <w:rPr>
                <w:rFonts w:hint="eastAsia" w:ascii="宋体" w:hAnsi="宋体" w:cs="宋体"/>
                <w:b/>
                <w:bCs/>
                <w:szCs w:val="21"/>
              </w:rPr>
              <w:t>人员经费小计</w:t>
            </w:r>
          </w:p>
        </w:tc>
        <w:tc>
          <w:tcPr>
            <w:tcW w:w="899" w:type="pct"/>
            <w:noWrap/>
            <w:vAlign w:val="center"/>
          </w:tcPr>
          <w:p>
            <w:pPr>
              <w:widowControl/>
              <w:jc w:val="right"/>
              <w:rPr>
                <w:rFonts w:eastAsiaTheme="minorEastAsia"/>
                <w:b/>
                <w:bCs/>
                <w:szCs w:val="21"/>
              </w:rPr>
            </w:pPr>
            <w:r>
              <w:rPr>
                <w:rFonts w:hint="eastAsia" w:eastAsiaTheme="minorEastAsia"/>
                <w:b/>
                <w:bCs/>
                <w:szCs w:val="21"/>
              </w:rPr>
              <w:t>3,500.00</w:t>
            </w:r>
            <w:r>
              <w:rPr>
                <w:rFonts w:hint="eastAsia" w:ascii="MS Gothic" w:hAnsi="MS Gothic" w:eastAsia="MS Gothic" w:cs="MS Gothic"/>
                <w:b/>
                <w:bCs/>
                <w:szCs w:val="21"/>
              </w:rPr>
              <w:t>‬</w:t>
            </w:r>
          </w:p>
        </w:tc>
        <w:tc>
          <w:tcPr>
            <w:tcW w:w="958" w:type="pct"/>
            <w:vAlign w:val="center"/>
          </w:tcPr>
          <w:p>
            <w:pPr>
              <w:widowControl/>
              <w:jc w:val="right"/>
              <w:rPr>
                <w:rFonts w:eastAsiaTheme="minorEastAsia"/>
                <w:b/>
                <w:bCs/>
                <w:szCs w:val="21"/>
              </w:rPr>
            </w:pPr>
            <w:r>
              <w:rPr>
                <w:rFonts w:hint="eastAsia"/>
                <w:b/>
                <w:bCs/>
                <w:szCs w:val="21"/>
              </w:rPr>
              <w:t>3,807.89</w:t>
            </w:r>
          </w:p>
        </w:tc>
        <w:tc>
          <w:tcPr>
            <w:tcW w:w="1633" w:type="dxa"/>
            <w:noWrap/>
            <w:vAlign w:val="center"/>
          </w:tcPr>
          <w:p>
            <w:pPr>
              <w:widowControl/>
              <w:jc w:val="right"/>
              <w:rPr>
                <w:rFonts w:eastAsiaTheme="minorEastAsia"/>
                <w:b/>
                <w:bCs/>
                <w:szCs w:val="21"/>
              </w:rPr>
            </w:pPr>
            <w:r>
              <w:rPr>
                <w:rFonts w:hint="eastAsia"/>
                <w:b/>
                <w:bCs/>
                <w:szCs w:val="21"/>
              </w:rPr>
              <w:t>3,807.89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rPr>
                <w:rFonts w:ascii="宋体" w:hAnsi="宋体" w:cs="宋体"/>
                <w:szCs w:val="21"/>
              </w:rPr>
            </w:pPr>
            <w:r>
              <w:rPr>
                <w:rFonts w:hint="eastAsia" w:ascii="宋体" w:hAnsi="宋体" w:cs="宋体"/>
                <w:szCs w:val="21"/>
              </w:rPr>
              <w:t>商品和服务支出</w:t>
            </w:r>
          </w:p>
        </w:tc>
        <w:tc>
          <w:tcPr>
            <w:tcW w:w="899" w:type="pct"/>
            <w:noWrap/>
            <w:vAlign w:val="center"/>
          </w:tcPr>
          <w:p>
            <w:pPr>
              <w:widowControl/>
              <w:jc w:val="right"/>
              <w:rPr>
                <w:rFonts w:eastAsiaTheme="minorEastAsia"/>
                <w:szCs w:val="21"/>
              </w:rPr>
            </w:pPr>
            <w:r>
              <w:rPr>
                <w:rFonts w:hint="eastAsia" w:eastAsiaTheme="minorEastAsia"/>
                <w:szCs w:val="21"/>
              </w:rPr>
              <w:t>1,046.02</w:t>
            </w:r>
          </w:p>
        </w:tc>
        <w:tc>
          <w:tcPr>
            <w:tcW w:w="1633" w:type="dxa"/>
            <w:vAlign w:val="center"/>
          </w:tcPr>
          <w:p>
            <w:pPr>
              <w:widowControl/>
              <w:jc w:val="right"/>
              <w:textAlignment w:val="center"/>
              <w:rPr>
                <w:szCs w:val="21"/>
              </w:rPr>
            </w:pPr>
            <w:r>
              <w:rPr>
                <w:rFonts w:hint="eastAsia"/>
                <w:szCs w:val="21"/>
              </w:rPr>
              <w:t>1,179.32</w:t>
            </w:r>
          </w:p>
        </w:tc>
        <w:tc>
          <w:tcPr>
            <w:tcW w:w="1633" w:type="dxa"/>
            <w:noWrap/>
            <w:vAlign w:val="center"/>
          </w:tcPr>
          <w:p>
            <w:pPr>
              <w:widowControl/>
              <w:jc w:val="right"/>
              <w:textAlignment w:val="center"/>
              <w:rPr>
                <w:rFonts w:ascii="宋体" w:hAnsi="宋体" w:cs="宋体"/>
                <w:color w:val="000000"/>
                <w:sz w:val="22"/>
                <w:szCs w:val="22"/>
              </w:rPr>
            </w:pPr>
            <w:r>
              <w:rPr>
                <w:rFonts w:hint="eastAsia"/>
                <w:szCs w:val="21"/>
              </w:rPr>
              <w:t>1,179.32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left"/>
              <w:rPr>
                <w:rFonts w:ascii="宋体" w:hAnsi="宋体" w:cs="宋体"/>
                <w:szCs w:val="21"/>
              </w:rPr>
            </w:pPr>
            <w:r>
              <w:rPr>
                <w:rFonts w:hint="eastAsia" w:ascii="宋体" w:hAnsi="宋体" w:cs="宋体"/>
                <w:szCs w:val="21"/>
              </w:rPr>
              <w:t>资本性支出</w:t>
            </w:r>
          </w:p>
        </w:tc>
        <w:tc>
          <w:tcPr>
            <w:tcW w:w="899" w:type="pct"/>
            <w:noWrap/>
            <w:vAlign w:val="center"/>
          </w:tcPr>
          <w:p>
            <w:pPr>
              <w:widowControl/>
              <w:jc w:val="right"/>
              <w:rPr>
                <w:szCs w:val="21"/>
              </w:rPr>
            </w:pPr>
            <w:r>
              <w:rPr>
                <w:rFonts w:hint="eastAsia"/>
                <w:szCs w:val="21"/>
              </w:rPr>
              <w:t>-</w:t>
            </w:r>
          </w:p>
        </w:tc>
        <w:tc>
          <w:tcPr>
            <w:tcW w:w="1633" w:type="dxa"/>
            <w:vAlign w:val="center"/>
          </w:tcPr>
          <w:p>
            <w:pPr>
              <w:widowControl/>
              <w:jc w:val="right"/>
              <w:rPr>
                <w:szCs w:val="21"/>
              </w:rPr>
            </w:pPr>
            <w:r>
              <w:rPr>
                <w:rFonts w:hint="eastAsia"/>
                <w:szCs w:val="21"/>
              </w:rPr>
              <w:t>-</w:t>
            </w:r>
          </w:p>
        </w:tc>
        <w:tc>
          <w:tcPr>
            <w:tcW w:w="1633" w:type="dxa"/>
            <w:noWrap/>
            <w:vAlign w:val="center"/>
          </w:tcPr>
          <w:p>
            <w:pPr>
              <w:widowControl/>
              <w:jc w:val="right"/>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center"/>
              <w:rPr>
                <w:rFonts w:ascii="宋体" w:hAnsi="宋体" w:cs="宋体"/>
                <w:b/>
                <w:bCs/>
                <w:szCs w:val="21"/>
              </w:rPr>
            </w:pPr>
            <w:r>
              <w:rPr>
                <w:rFonts w:hint="eastAsia" w:ascii="宋体" w:hAnsi="宋体" w:cs="宋体"/>
                <w:b/>
                <w:bCs/>
                <w:szCs w:val="21"/>
              </w:rPr>
              <w:t>日常公用经费小计</w:t>
            </w:r>
          </w:p>
        </w:tc>
        <w:tc>
          <w:tcPr>
            <w:tcW w:w="899" w:type="pct"/>
            <w:noWrap/>
            <w:vAlign w:val="center"/>
          </w:tcPr>
          <w:p>
            <w:pPr>
              <w:widowControl/>
              <w:jc w:val="right"/>
              <w:rPr>
                <w:rFonts w:eastAsiaTheme="minorEastAsia"/>
                <w:b/>
                <w:bCs/>
                <w:szCs w:val="21"/>
              </w:rPr>
            </w:pPr>
            <w:r>
              <w:rPr>
                <w:rFonts w:hint="eastAsia" w:eastAsiaTheme="minorEastAsia"/>
                <w:b/>
                <w:bCs/>
                <w:szCs w:val="21"/>
              </w:rPr>
              <w:t xml:space="preserve">1,046.02 </w:t>
            </w:r>
          </w:p>
        </w:tc>
        <w:tc>
          <w:tcPr>
            <w:tcW w:w="958" w:type="pct"/>
            <w:vAlign w:val="center"/>
          </w:tcPr>
          <w:p>
            <w:pPr>
              <w:widowControl/>
              <w:jc w:val="right"/>
              <w:rPr>
                <w:rFonts w:eastAsiaTheme="minorEastAsia"/>
                <w:b/>
                <w:bCs/>
                <w:szCs w:val="21"/>
              </w:rPr>
            </w:pPr>
            <w:r>
              <w:rPr>
                <w:rFonts w:hint="eastAsia"/>
                <w:b/>
                <w:bCs/>
                <w:szCs w:val="21"/>
              </w:rPr>
              <w:t>1,179.32</w:t>
            </w:r>
          </w:p>
        </w:tc>
        <w:tc>
          <w:tcPr>
            <w:tcW w:w="1633" w:type="dxa"/>
            <w:noWrap/>
            <w:vAlign w:val="center"/>
          </w:tcPr>
          <w:p>
            <w:pPr>
              <w:widowControl/>
              <w:jc w:val="right"/>
              <w:rPr>
                <w:rFonts w:eastAsiaTheme="minorEastAsia"/>
                <w:b/>
                <w:bCs/>
                <w:szCs w:val="21"/>
              </w:rPr>
            </w:pPr>
            <w:r>
              <w:rPr>
                <w:rFonts w:hint="eastAsia"/>
                <w:b/>
                <w:bCs/>
                <w:szCs w:val="21"/>
              </w:rPr>
              <w:t>1,179.32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center"/>
              <w:rPr>
                <w:rFonts w:ascii="宋体" w:hAnsi="宋体" w:cs="宋体"/>
                <w:b/>
                <w:bCs/>
                <w:szCs w:val="21"/>
              </w:rPr>
            </w:pPr>
            <w:r>
              <w:rPr>
                <w:rFonts w:hint="eastAsia" w:ascii="宋体" w:hAnsi="宋体" w:cs="宋体"/>
                <w:b/>
                <w:bCs/>
                <w:szCs w:val="21"/>
              </w:rPr>
              <w:t>合计</w:t>
            </w:r>
          </w:p>
        </w:tc>
        <w:tc>
          <w:tcPr>
            <w:tcW w:w="899" w:type="pct"/>
            <w:noWrap/>
            <w:vAlign w:val="center"/>
          </w:tcPr>
          <w:p>
            <w:pPr>
              <w:widowControl/>
              <w:jc w:val="right"/>
              <w:rPr>
                <w:rFonts w:eastAsiaTheme="minorEastAsia"/>
                <w:b/>
                <w:bCs/>
                <w:szCs w:val="21"/>
              </w:rPr>
            </w:pPr>
            <w:r>
              <w:rPr>
                <w:rFonts w:hint="eastAsia" w:eastAsiaTheme="minorEastAsia"/>
                <w:b/>
                <w:bCs/>
                <w:szCs w:val="21"/>
              </w:rPr>
              <w:t>4,546.02</w:t>
            </w:r>
          </w:p>
        </w:tc>
        <w:tc>
          <w:tcPr>
            <w:tcW w:w="958" w:type="pct"/>
            <w:vAlign w:val="center"/>
          </w:tcPr>
          <w:p>
            <w:pPr>
              <w:widowControl/>
              <w:jc w:val="right"/>
              <w:rPr>
                <w:rFonts w:eastAsiaTheme="minorEastAsia"/>
                <w:b/>
                <w:bCs/>
                <w:szCs w:val="21"/>
              </w:rPr>
            </w:pPr>
            <w:r>
              <w:rPr>
                <w:rFonts w:hint="eastAsia" w:eastAsiaTheme="minorEastAsia"/>
                <w:b/>
                <w:bCs/>
                <w:szCs w:val="21"/>
              </w:rPr>
              <w:t>4,987.21</w:t>
            </w:r>
          </w:p>
        </w:tc>
        <w:tc>
          <w:tcPr>
            <w:tcW w:w="1633" w:type="dxa"/>
            <w:noWrap/>
            <w:vAlign w:val="center"/>
          </w:tcPr>
          <w:p>
            <w:pPr>
              <w:widowControl/>
              <w:jc w:val="right"/>
              <w:rPr>
                <w:rFonts w:eastAsiaTheme="minorEastAsia"/>
                <w:b/>
                <w:bCs/>
                <w:szCs w:val="21"/>
              </w:rPr>
            </w:pPr>
            <w:r>
              <w:rPr>
                <w:rFonts w:hint="eastAsia" w:eastAsiaTheme="minorEastAsia"/>
                <w:b/>
                <w:bCs/>
                <w:szCs w:val="21"/>
              </w:rPr>
              <w:t>4,987.21</w:t>
            </w:r>
          </w:p>
        </w:tc>
      </w:tr>
    </w:tbl>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2、三公经费支出情况</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公”经费包括公务用车运行维护费、因公出国（境）费用、公务接待费。2020年，汽车学院共列支“三公”经费30.00万元，其中：公务用车运行维护费10.00万元、因公出国（境）费用0万元、公务接待费20.00万元。“三公”经费决算数未超出年初财政预算数，具体详见下表：</w:t>
      </w:r>
    </w:p>
    <w:p>
      <w:pPr>
        <w:ind w:firstLine="361"/>
        <w:jc w:val="right"/>
        <w:rPr>
          <w:bCs/>
          <w:sz w:val="24"/>
        </w:rPr>
      </w:pPr>
    </w:p>
    <w:p>
      <w:pPr>
        <w:ind w:firstLine="361"/>
        <w:jc w:val="right"/>
        <w:rPr>
          <w:bCs/>
          <w:sz w:val="24"/>
        </w:rPr>
      </w:pPr>
    </w:p>
    <w:p>
      <w:pPr>
        <w:ind w:firstLine="361"/>
        <w:jc w:val="right"/>
        <w:rPr>
          <w:bCs/>
          <w:sz w:val="24"/>
        </w:rPr>
      </w:pPr>
    </w:p>
    <w:p>
      <w:pPr>
        <w:ind w:firstLine="361"/>
        <w:jc w:val="right"/>
        <w:rPr>
          <w:bCs/>
          <w:sz w:val="24"/>
        </w:rPr>
      </w:pPr>
    </w:p>
    <w:p>
      <w:pPr>
        <w:ind w:firstLine="361"/>
        <w:jc w:val="right"/>
        <w:rPr>
          <w:bCs/>
          <w:sz w:val="24"/>
        </w:rPr>
      </w:pPr>
    </w:p>
    <w:p>
      <w:pPr>
        <w:ind w:firstLine="361"/>
        <w:jc w:val="right"/>
        <w:rPr>
          <w:bCs/>
          <w:sz w:val="24"/>
        </w:rPr>
      </w:pPr>
      <w:r>
        <w:rPr>
          <w:bCs/>
          <w:sz w:val="24"/>
        </w:rPr>
        <w:t>单位：万元</w:t>
      </w:r>
    </w:p>
    <w:tbl>
      <w:tblPr>
        <w:tblStyle w:val="9"/>
        <w:tblW w:w="7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954"/>
        <w:gridCol w:w="1200"/>
        <w:gridCol w:w="1267"/>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85" w:type="dxa"/>
            <w:vAlign w:val="center"/>
          </w:tcPr>
          <w:p>
            <w:pPr>
              <w:widowControl/>
              <w:jc w:val="center"/>
              <w:rPr>
                <w:rFonts w:ascii="宋体" w:hAnsi="宋体" w:cs="宋体"/>
                <w:b/>
                <w:bCs/>
                <w:color w:val="000000"/>
                <w:sz w:val="22"/>
              </w:rPr>
            </w:pPr>
            <w:r>
              <w:rPr>
                <w:rFonts w:hint="eastAsia" w:ascii="宋体" w:hAnsi="宋体" w:cs="宋体"/>
                <w:b/>
                <w:bCs/>
                <w:color w:val="000000"/>
                <w:sz w:val="22"/>
              </w:rPr>
              <w:t>序号</w:t>
            </w:r>
          </w:p>
        </w:tc>
        <w:tc>
          <w:tcPr>
            <w:tcW w:w="1954" w:type="dxa"/>
            <w:vAlign w:val="center"/>
          </w:tcPr>
          <w:p>
            <w:pPr>
              <w:widowControl/>
              <w:jc w:val="center"/>
              <w:rPr>
                <w:rFonts w:ascii="宋体" w:hAnsi="宋体" w:cs="宋体"/>
                <w:b/>
                <w:bCs/>
                <w:color w:val="000000"/>
                <w:sz w:val="22"/>
              </w:rPr>
            </w:pPr>
            <w:r>
              <w:rPr>
                <w:rFonts w:hint="eastAsia" w:ascii="宋体" w:hAnsi="宋体" w:cs="宋体"/>
                <w:b/>
                <w:bCs/>
                <w:color w:val="000000"/>
                <w:sz w:val="22"/>
              </w:rPr>
              <w:t>项目</w:t>
            </w:r>
          </w:p>
        </w:tc>
        <w:tc>
          <w:tcPr>
            <w:tcW w:w="1200" w:type="dxa"/>
            <w:vAlign w:val="center"/>
          </w:tcPr>
          <w:p>
            <w:pPr>
              <w:widowControl/>
              <w:jc w:val="center"/>
              <w:rPr>
                <w:rFonts w:ascii="宋体" w:hAnsi="宋体" w:cs="宋体"/>
                <w:b/>
                <w:bCs/>
                <w:color w:val="000000"/>
                <w:sz w:val="22"/>
              </w:rPr>
            </w:pPr>
            <w:r>
              <w:rPr>
                <w:rFonts w:hint="eastAsia" w:ascii="宋体" w:hAnsi="宋体" w:cs="宋体"/>
                <w:b/>
                <w:bCs/>
                <w:color w:val="000000"/>
                <w:sz w:val="22"/>
              </w:rPr>
              <w:t>2020预算</w:t>
            </w:r>
          </w:p>
        </w:tc>
        <w:tc>
          <w:tcPr>
            <w:tcW w:w="1267" w:type="dxa"/>
            <w:vAlign w:val="center"/>
          </w:tcPr>
          <w:p>
            <w:pPr>
              <w:widowControl/>
              <w:jc w:val="center"/>
              <w:rPr>
                <w:rFonts w:ascii="宋体" w:hAnsi="宋体" w:cs="宋体"/>
                <w:b/>
                <w:bCs/>
                <w:color w:val="000000"/>
                <w:sz w:val="22"/>
              </w:rPr>
            </w:pPr>
            <w:r>
              <w:rPr>
                <w:rFonts w:hint="eastAsia" w:ascii="宋体" w:hAnsi="宋体" w:cs="宋体"/>
                <w:b/>
                <w:bCs/>
                <w:color w:val="000000"/>
                <w:sz w:val="22"/>
              </w:rPr>
              <w:t>2020决算</w:t>
            </w:r>
          </w:p>
        </w:tc>
        <w:tc>
          <w:tcPr>
            <w:tcW w:w="2813" w:type="dxa"/>
          </w:tcPr>
          <w:p>
            <w:pPr>
              <w:widowControl/>
              <w:jc w:val="center"/>
              <w:rPr>
                <w:rFonts w:ascii="宋体" w:hAnsi="宋体" w:cs="宋体"/>
                <w:b/>
                <w:bCs/>
                <w:color w:val="000000"/>
                <w:sz w:val="22"/>
              </w:rPr>
            </w:pPr>
            <w:r>
              <w:rPr>
                <w:rFonts w:hint="eastAsia" w:ascii="宋体" w:hAnsi="宋体" w:cs="宋体"/>
                <w:b/>
                <w:bCs/>
                <w:color w:val="000000"/>
                <w:sz w:val="22"/>
              </w:rPr>
              <w:t>预、决算差额（超支为负）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5" w:type="dxa"/>
            <w:vAlign w:val="center"/>
          </w:tcPr>
          <w:p>
            <w:pPr>
              <w:widowControl/>
              <w:jc w:val="center"/>
              <w:rPr>
                <w:rFonts w:ascii="宋体" w:hAnsi="宋体" w:cs="宋体"/>
                <w:szCs w:val="21"/>
              </w:rPr>
            </w:pPr>
            <w:r>
              <w:rPr>
                <w:rFonts w:hint="eastAsia" w:ascii="宋体" w:hAnsi="宋体" w:cs="宋体"/>
                <w:szCs w:val="21"/>
              </w:rPr>
              <w:t>1</w:t>
            </w:r>
          </w:p>
        </w:tc>
        <w:tc>
          <w:tcPr>
            <w:tcW w:w="1954" w:type="dxa"/>
            <w:vAlign w:val="center"/>
          </w:tcPr>
          <w:p>
            <w:pPr>
              <w:widowControl/>
              <w:rPr>
                <w:rFonts w:ascii="宋体" w:hAnsi="宋体" w:cs="宋体"/>
                <w:szCs w:val="21"/>
              </w:rPr>
            </w:pPr>
            <w:r>
              <w:rPr>
                <w:rFonts w:hint="eastAsia" w:ascii="宋体" w:hAnsi="宋体" w:cs="宋体"/>
                <w:szCs w:val="21"/>
              </w:rPr>
              <w:t>公务用车运行维护</w:t>
            </w:r>
          </w:p>
        </w:tc>
        <w:tc>
          <w:tcPr>
            <w:tcW w:w="1200" w:type="dxa"/>
            <w:vAlign w:val="center"/>
          </w:tcPr>
          <w:p>
            <w:pPr>
              <w:widowControl/>
              <w:jc w:val="right"/>
              <w:rPr>
                <w:rFonts w:eastAsiaTheme="minorEastAsia"/>
                <w:szCs w:val="21"/>
              </w:rPr>
            </w:pPr>
            <w:r>
              <w:rPr>
                <w:rFonts w:hint="eastAsia" w:eastAsiaTheme="minorEastAsia"/>
                <w:szCs w:val="21"/>
              </w:rPr>
              <w:t>10.00</w:t>
            </w:r>
          </w:p>
        </w:tc>
        <w:tc>
          <w:tcPr>
            <w:tcW w:w="1267" w:type="dxa"/>
            <w:vAlign w:val="center"/>
          </w:tcPr>
          <w:p>
            <w:pPr>
              <w:widowControl/>
              <w:jc w:val="right"/>
              <w:rPr>
                <w:rFonts w:eastAsiaTheme="minorEastAsia"/>
                <w:szCs w:val="21"/>
              </w:rPr>
            </w:pPr>
            <w:r>
              <w:rPr>
                <w:rFonts w:hint="eastAsia" w:eastAsiaTheme="minorEastAsia"/>
                <w:szCs w:val="21"/>
              </w:rPr>
              <w:t>10.00</w:t>
            </w:r>
          </w:p>
        </w:tc>
        <w:tc>
          <w:tcPr>
            <w:tcW w:w="2813" w:type="dxa"/>
            <w:vAlign w:val="center"/>
          </w:tcPr>
          <w:p>
            <w:pPr>
              <w:widowControl/>
              <w:jc w:val="right"/>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5" w:type="dxa"/>
            <w:vAlign w:val="center"/>
          </w:tcPr>
          <w:p>
            <w:pPr>
              <w:widowControl/>
              <w:jc w:val="center"/>
              <w:rPr>
                <w:rFonts w:ascii="宋体" w:hAnsi="宋体" w:cs="宋体"/>
                <w:szCs w:val="21"/>
              </w:rPr>
            </w:pPr>
            <w:r>
              <w:rPr>
                <w:rFonts w:hint="eastAsia" w:ascii="宋体" w:hAnsi="宋体" w:cs="宋体"/>
                <w:szCs w:val="21"/>
              </w:rPr>
              <w:t>2</w:t>
            </w:r>
          </w:p>
        </w:tc>
        <w:tc>
          <w:tcPr>
            <w:tcW w:w="1954" w:type="dxa"/>
            <w:vAlign w:val="center"/>
          </w:tcPr>
          <w:p>
            <w:pPr>
              <w:widowControl/>
              <w:rPr>
                <w:rFonts w:ascii="宋体" w:hAnsi="宋体" w:cs="宋体"/>
                <w:szCs w:val="21"/>
              </w:rPr>
            </w:pPr>
            <w:r>
              <w:rPr>
                <w:rFonts w:hint="eastAsia" w:ascii="宋体" w:hAnsi="宋体" w:cs="宋体"/>
                <w:szCs w:val="21"/>
              </w:rPr>
              <w:t>因公出国（境）</w:t>
            </w:r>
          </w:p>
        </w:tc>
        <w:tc>
          <w:tcPr>
            <w:tcW w:w="1200" w:type="dxa"/>
            <w:vAlign w:val="center"/>
          </w:tcPr>
          <w:p>
            <w:pPr>
              <w:widowControl/>
              <w:jc w:val="right"/>
              <w:rPr>
                <w:rFonts w:eastAsiaTheme="minorEastAsia"/>
                <w:szCs w:val="21"/>
              </w:rPr>
            </w:pPr>
            <w:r>
              <w:rPr>
                <w:rFonts w:hint="eastAsia" w:eastAsiaTheme="minorEastAsia"/>
                <w:szCs w:val="21"/>
              </w:rPr>
              <w:t>-</w:t>
            </w:r>
          </w:p>
        </w:tc>
        <w:tc>
          <w:tcPr>
            <w:tcW w:w="1267" w:type="dxa"/>
            <w:vAlign w:val="center"/>
          </w:tcPr>
          <w:p>
            <w:pPr>
              <w:widowControl/>
              <w:jc w:val="right"/>
              <w:rPr>
                <w:rFonts w:eastAsiaTheme="minorEastAsia"/>
                <w:szCs w:val="21"/>
              </w:rPr>
            </w:pPr>
            <w:r>
              <w:rPr>
                <w:rFonts w:hint="eastAsia" w:eastAsiaTheme="minorEastAsia"/>
                <w:szCs w:val="21"/>
              </w:rPr>
              <w:t>-</w:t>
            </w:r>
          </w:p>
        </w:tc>
        <w:tc>
          <w:tcPr>
            <w:tcW w:w="2813" w:type="dxa"/>
            <w:vAlign w:val="center"/>
          </w:tcPr>
          <w:p>
            <w:pPr>
              <w:widowControl/>
              <w:jc w:val="right"/>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85" w:type="dxa"/>
            <w:vAlign w:val="center"/>
          </w:tcPr>
          <w:p>
            <w:pPr>
              <w:widowControl/>
              <w:jc w:val="center"/>
              <w:rPr>
                <w:rFonts w:ascii="宋体" w:hAnsi="宋体" w:cs="宋体"/>
                <w:szCs w:val="21"/>
              </w:rPr>
            </w:pPr>
            <w:r>
              <w:rPr>
                <w:rFonts w:hint="eastAsia" w:ascii="宋体" w:hAnsi="宋体" w:cs="宋体"/>
                <w:szCs w:val="21"/>
              </w:rPr>
              <w:t>3</w:t>
            </w:r>
          </w:p>
        </w:tc>
        <w:tc>
          <w:tcPr>
            <w:tcW w:w="1954" w:type="dxa"/>
            <w:vAlign w:val="center"/>
          </w:tcPr>
          <w:p>
            <w:pPr>
              <w:widowControl/>
              <w:rPr>
                <w:rFonts w:ascii="宋体" w:hAnsi="宋体" w:cs="宋体"/>
                <w:szCs w:val="21"/>
              </w:rPr>
            </w:pPr>
            <w:r>
              <w:rPr>
                <w:rFonts w:hint="eastAsia" w:ascii="宋体" w:hAnsi="宋体" w:cs="宋体"/>
                <w:szCs w:val="21"/>
              </w:rPr>
              <w:t>公务接待费</w:t>
            </w:r>
          </w:p>
        </w:tc>
        <w:tc>
          <w:tcPr>
            <w:tcW w:w="1200" w:type="dxa"/>
            <w:vAlign w:val="center"/>
          </w:tcPr>
          <w:p>
            <w:pPr>
              <w:widowControl/>
              <w:jc w:val="right"/>
              <w:rPr>
                <w:rFonts w:eastAsiaTheme="minorEastAsia"/>
                <w:szCs w:val="21"/>
              </w:rPr>
            </w:pPr>
            <w:r>
              <w:rPr>
                <w:rFonts w:hint="eastAsia" w:eastAsiaTheme="minorEastAsia"/>
                <w:szCs w:val="21"/>
              </w:rPr>
              <w:t>20.00</w:t>
            </w:r>
          </w:p>
        </w:tc>
        <w:tc>
          <w:tcPr>
            <w:tcW w:w="1267" w:type="dxa"/>
            <w:vAlign w:val="center"/>
          </w:tcPr>
          <w:p>
            <w:pPr>
              <w:widowControl/>
              <w:jc w:val="right"/>
              <w:rPr>
                <w:rFonts w:eastAsiaTheme="minorEastAsia"/>
                <w:szCs w:val="21"/>
              </w:rPr>
            </w:pPr>
            <w:r>
              <w:rPr>
                <w:rFonts w:hint="eastAsia" w:eastAsiaTheme="minorEastAsia"/>
                <w:szCs w:val="21"/>
              </w:rPr>
              <w:t>20.00</w:t>
            </w:r>
          </w:p>
        </w:tc>
        <w:tc>
          <w:tcPr>
            <w:tcW w:w="2813" w:type="dxa"/>
            <w:vAlign w:val="center"/>
          </w:tcPr>
          <w:p>
            <w:pPr>
              <w:widowControl/>
              <w:jc w:val="right"/>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639" w:type="dxa"/>
            <w:gridSpan w:val="2"/>
            <w:vAlign w:val="center"/>
          </w:tcPr>
          <w:p>
            <w:pPr>
              <w:widowControl/>
              <w:jc w:val="center"/>
              <w:rPr>
                <w:rFonts w:ascii="宋体" w:hAnsi="宋体" w:cs="宋体"/>
                <w:b/>
                <w:bCs/>
                <w:szCs w:val="21"/>
              </w:rPr>
            </w:pPr>
            <w:r>
              <w:rPr>
                <w:rFonts w:hint="eastAsia" w:ascii="宋体" w:hAnsi="宋体" w:cs="宋体"/>
                <w:b/>
                <w:bCs/>
                <w:szCs w:val="21"/>
              </w:rPr>
              <w:t>合计</w:t>
            </w:r>
          </w:p>
        </w:tc>
        <w:tc>
          <w:tcPr>
            <w:tcW w:w="1200" w:type="dxa"/>
            <w:vAlign w:val="center"/>
          </w:tcPr>
          <w:p>
            <w:pPr>
              <w:widowControl/>
              <w:jc w:val="right"/>
              <w:rPr>
                <w:rFonts w:eastAsiaTheme="minorEastAsia"/>
                <w:b/>
                <w:bCs/>
                <w:szCs w:val="21"/>
              </w:rPr>
            </w:pPr>
            <w:r>
              <w:rPr>
                <w:rFonts w:hint="eastAsia" w:eastAsiaTheme="minorEastAsia"/>
                <w:b/>
                <w:bCs/>
                <w:szCs w:val="21"/>
              </w:rPr>
              <w:t>30.00</w:t>
            </w:r>
          </w:p>
        </w:tc>
        <w:tc>
          <w:tcPr>
            <w:tcW w:w="1267" w:type="dxa"/>
            <w:vAlign w:val="center"/>
          </w:tcPr>
          <w:p>
            <w:pPr>
              <w:widowControl/>
              <w:jc w:val="right"/>
              <w:rPr>
                <w:rFonts w:eastAsiaTheme="minorEastAsia"/>
                <w:b/>
                <w:bCs/>
                <w:szCs w:val="21"/>
              </w:rPr>
            </w:pPr>
            <w:r>
              <w:rPr>
                <w:rFonts w:hint="eastAsia" w:eastAsiaTheme="minorEastAsia"/>
                <w:b/>
                <w:bCs/>
                <w:szCs w:val="21"/>
              </w:rPr>
              <w:t>30.00</w:t>
            </w:r>
          </w:p>
        </w:tc>
        <w:tc>
          <w:tcPr>
            <w:tcW w:w="2813" w:type="dxa"/>
            <w:vAlign w:val="center"/>
          </w:tcPr>
          <w:p>
            <w:pPr>
              <w:widowControl/>
              <w:jc w:val="right"/>
              <w:rPr>
                <w:rFonts w:eastAsiaTheme="minorEastAsia"/>
                <w:szCs w:val="21"/>
              </w:rPr>
            </w:pPr>
          </w:p>
        </w:tc>
      </w:tr>
    </w:tbl>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（三）项目支出情况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1、项目支出明细情况</w:t>
      </w:r>
    </w:p>
    <w:p>
      <w:pPr>
        <w:pStyle w:val="8"/>
        <w:ind w:left="0" w:leftChars="0" w:firstLine="560"/>
        <w:rPr>
          <w:rFonts w:asciiTheme="minorEastAsia" w:hAnsiTheme="minorEastAsia" w:cstheme="minorEastAsia"/>
          <w:sz w:val="28"/>
          <w:szCs w:val="28"/>
        </w:rPr>
      </w:pPr>
      <w:r>
        <w:rPr>
          <w:rFonts w:asciiTheme="minorEastAsia" w:hAnsiTheme="minorEastAsia" w:cstheme="minorEastAsia"/>
          <w:sz w:val="28"/>
          <w:szCs w:val="28"/>
        </w:rPr>
        <w:t>项目支出是指单位为完成特定工作任务或事业发展目标而发生的支出，包括学生资助补助资金、疫情防控资金、省属公办中职学校生均拨款提标资金、省级就业补助资金、改善中职学校办学基础条件等方面的</w:t>
      </w:r>
      <w:r>
        <w:rPr>
          <w:rFonts w:hint="eastAsia" w:asciiTheme="minorEastAsia" w:hAnsiTheme="minorEastAsia" w:cstheme="minorEastAsia"/>
          <w:sz w:val="28"/>
          <w:szCs w:val="28"/>
        </w:rPr>
        <w:t>项目资金，具体明细如下表所示：</w:t>
      </w:r>
    </w:p>
    <w:p>
      <w:pPr>
        <w:ind w:firstLine="361"/>
        <w:jc w:val="center"/>
        <w:rPr>
          <w:b/>
          <w:sz w:val="24"/>
        </w:rPr>
      </w:pPr>
      <w:r>
        <w:rPr>
          <w:b/>
          <w:sz w:val="24"/>
        </w:rPr>
        <w:t>20</w:t>
      </w:r>
      <w:r>
        <w:rPr>
          <w:rFonts w:hint="eastAsia"/>
          <w:b/>
          <w:sz w:val="24"/>
        </w:rPr>
        <w:t>20</w:t>
      </w:r>
      <w:r>
        <w:rPr>
          <w:b/>
          <w:sz w:val="24"/>
        </w:rPr>
        <w:t>年</w:t>
      </w:r>
      <w:r>
        <w:rPr>
          <w:rFonts w:hint="eastAsia"/>
          <w:b/>
          <w:sz w:val="24"/>
        </w:rPr>
        <w:t>汽车学院项目</w:t>
      </w:r>
      <w:r>
        <w:rPr>
          <w:b/>
          <w:sz w:val="24"/>
        </w:rPr>
        <w:t>支出预算数与决算数对比表</w:t>
      </w:r>
    </w:p>
    <w:p>
      <w:pPr>
        <w:ind w:firstLine="361"/>
        <w:jc w:val="right"/>
        <w:rPr>
          <w:bCs/>
          <w:sz w:val="18"/>
        </w:rPr>
      </w:pPr>
      <w:r>
        <w:rPr>
          <w:bCs/>
          <w:sz w:val="24"/>
        </w:rPr>
        <w:t>单位：</w:t>
      </w:r>
      <w:r>
        <w:rPr>
          <w:rFonts w:hint="eastAsia"/>
          <w:bCs/>
          <w:sz w:val="24"/>
        </w:rPr>
        <w:t>万</w:t>
      </w:r>
      <w:r>
        <w:rPr>
          <w:bCs/>
          <w:sz w:val="24"/>
        </w:rPr>
        <w:t>元</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931"/>
        <w:gridCol w:w="1656"/>
        <w:gridCol w:w="1725"/>
        <w:gridCol w:w="13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blHeader/>
        </w:trPr>
        <w:tc>
          <w:tcPr>
            <w:tcW w:w="2775"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项目</w:t>
            </w:r>
          </w:p>
        </w:tc>
        <w:tc>
          <w:tcPr>
            <w:tcW w:w="775"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年初预算数</w:t>
            </w:r>
          </w:p>
        </w:tc>
        <w:tc>
          <w:tcPr>
            <w:tcW w:w="807" w:type="pct"/>
            <w:vAlign w:val="center"/>
          </w:tcPr>
          <w:p>
            <w:pPr>
              <w:widowControl/>
              <w:jc w:val="center"/>
              <w:rPr>
                <w:rFonts w:ascii="宋体" w:hAnsi="宋体" w:cs="宋体"/>
                <w:b/>
                <w:bCs/>
                <w:color w:val="000000"/>
                <w:sz w:val="22"/>
              </w:rPr>
            </w:pPr>
            <w:r>
              <w:rPr>
                <w:rFonts w:hint="eastAsia" w:ascii="宋体" w:hAnsi="宋体" w:cs="宋体"/>
                <w:b/>
                <w:bCs/>
                <w:color w:val="000000"/>
                <w:sz w:val="22"/>
              </w:rPr>
              <w:t>调整预算数</w:t>
            </w:r>
          </w:p>
        </w:tc>
        <w:tc>
          <w:tcPr>
            <w:tcW w:w="641"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决算数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trPr>
        <w:tc>
          <w:tcPr>
            <w:tcW w:w="2775" w:type="pct"/>
            <w:noWrap/>
            <w:vAlign w:val="center"/>
          </w:tcPr>
          <w:p>
            <w:pPr>
              <w:widowControl/>
              <w:jc w:val="center"/>
              <w:rPr>
                <w:rFonts w:ascii="宋体" w:hAnsi="宋体" w:cs="宋体"/>
                <w:szCs w:val="21"/>
              </w:rPr>
            </w:pPr>
            <w:r>
              <w:rPr>
                <w:rFonts w:ascii="宋体" w:hAnsi="宋体" w:cs="宋体"/>
                <w:szCs w:val="21"/>
              </w:rPr>
              <w:t>2020年省属公办中职学校生均拨款提标资金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973.00 </w:t>
            </w:r>
          </w:p>
        </w:tc>
        <w:tc>
          <w:tcPr>
            <w:tcW w:w="1094" w:type="dxa"/>
            <w:noWrap/>
            <w:vAlign w:val="center"/>
          </w:tcPr>
          <w:p>
            <w:pPr>
              <w:widowControl/>
              <w:jc w:val="right"/>
              <w:rPr>
                <w:szCs w:val="21"/>
              </w:rPr>
            </w:pPr>
            <w:r>
              <w:rPr>
                <w:rFonts w:hint="eastAsia"/>
                <w:szCs w:val="21"/>
              </w:rPr>
              <w:t>-</w:t>
            </w:r>
            <w:r>
              <w:rPr>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2020年省级集中的地方教育附加资金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100.00 </w:t>
            </w:r>
          </w:p>
        </w:tc>
        <w:tc>
          <w:tcPr>
            <w:tcW w:w="1094" w:type="dxa"/>
            <w:noWrap/>
            <w:vAlign w:val="center"/>
          </w:tcPr>
          <w:p>
            <w:pPr>
              <w:widowControl/>
              <w:jc w:val="right"/>
              <w:rPr>
                <w:szCs w:val="21"/>
              </w:rPr>
            </w:pPr>
            <w:r>
              <w:rPr>
                <w:szCs w:val="21"/>
              </w:rPr>
              <w:t xml:space="preserve">30.83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院内0.4KV配电工程、西南角绿化工程</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100.40 </w:t>
            </w:r>
          </w:p>
        </w:tc>
        <w:tc>
          <w:tcPr>
            <w:tcW w:w="1094" w:type="dxa"/>
            <w:noWrap/>
            <w:vAlign w:val="center"/>
          </w:tcPr>
          <w:p>
            <w:pPr>
              <w:widowControl/>
              <w:jc w:val="right"/>
              <w:rPr>
                <w:szCs w:val="21"/>
              </w:rPr>
            </w:pPr>
            <w:r>
              <w:rPr>
                <w:szCs w:val="21"/>
              </w:rPr>
              <w:t xml:space="preserve">100.40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下达2019年校园招聘活动一次性补助资金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7.10 </w:t>
            </w:r>
          </w:p>
        </w:tc>
        <w:tc>
          <w:tcPr>
            <w:tcW w:w="1094" w:type="dxa"/>
            <w:noWrap/>
            <w:vAlign w:val="center"/>
          </w:tcPr>
          <w:p>
            <w:pPr>
              <w:widowControl/>
              <w:jc w:val="right"/>
              <w:rPr>
                <w:szCs w:val="21"/>
              </w:rPr>
            </w:pPr>
            <w:r>
              <w:rPr>
                <w:szCs w:val="21"/>
              </w:rPr>
              <w:t xml:space="preserve">7.10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解决学院办学基础能力建设方面的资金问题</w:t>
            </w:r>
          </w:p>
        </w:tc>
        <w:tc>
          <w:tcPr>
            <w:tcW w:w="775" w:type="pct"/>
            <w:noWrap/>
            <w:vAlign w:val="center"/>
          </w:tcPr>
          <w:p>
            <w:pPr>
              <w:widowControl/>
              <w:jc w:val="right"/>
              <w:rPr>
                <w:szCs w:val="21"/>
              </w:rPr>
            </w:pPr>
          </w:p>
        </w:tc>
        <w:tc>
          <w:tcPr>
            <w:tcW w:w="1376" w:type="dxa"/>
            <w:vAlign w:val="center"/>
          </w:tcPr>
          <w:p>
            <w:pPr>
              <w:widowControl/>
              <w:jc w:val="right"/>
              <w:rPr>
                <w:szCs w:val="21"/>
              </w:rPr>
            </w:pPr>
            <w:r>
              <w:rPr>
                <w:szCs w:val="21"/>
              </w:rPr>
              <w:t xml:space="preserve">200.00 </w:t>
            </w:r>
          </w:p>
        </w:tc>
        <w:tc>
          <w:tcPr>
            <w:tcW w:w="1094" w:type="dxa"/>
            <w:noWrap/>
            <w:vAlign w:val="center"/>
          </w:tcPr>
          <w:p>
            <w:pPr>
              <w:widowControl/>
              <w:jc w:val="right"/>
              <w:rPr>
                <w:szCs w:val="21"/>
              </w:rPr>
            </w:pPr>
            <w:r>
              <w:rPr>
                <w:szCs w:val="21"/>
              </w:rPr>
              <w:t xml:space="preserve">200.00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提前下达2020年学生资助中央和省级补助资金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227.80 </w:t>
            </w:r>
          </w:p>
        </w:tc>
        <w:tc>
          <w:tcPr>
            <w:tcW w:w="1094" w:type="dxa"/>
            <w:noWrap/>
            <w:vAlign w:val="center"/>
          </w:tcPr>
          <w:p>
            <w:pPr>
              <w:widowControl/>
              <w:jc w:val="right"/>
              <w:rPr>
                <w:szCs w:val="21"/>
              </w:rPr>
            </w:pPr>
            <w:r>
              <w:rPr>
                <w:szCs w:val="21"/>
              </w:rPr>
              <w:t xml:space="preserve">227.80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2019年省属公办中职学校生均拨款提标资金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816.59 </w:t>
            </w:r>
          </w:p>
        </w:tc>
        <w:tc>
          <w:tcPr>
            <w:tcW w:w="1094" w:type="dxa"/>
            <w:noWrap/>
            <w:vAlign w:val="center"/>
          </w:tcPr>
          <w:p>
            <w:pPr>
              <w:widowControl/>
              <w:jc w:val="right"/>
              <w:rPr>
                <w:szCs w:val="21"/>
              </w:rPr>
            </w:pPr>
            <w:r>
              <w:rPr>
                <w:szCs w:val="21"/>
              </w:rPr>
              <w:t xml:space="preserve">816.59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2019年学生资助资金（省属学校）</w:t>
            </w:r>
          </w:p>
        </w:tc>
        <w:tc>
          <w:tcPr>
            <w:tcW w:w="775" w:type="pct"/>
            <w:noWrap/>
            <w:vAlign w:val="center"/>
          </w:tcPr>
          <w:p>
            <w:pPr>
              <w:widowControl/>
              <w:jc w:val="right"/>
            </w:pPr>
          </w:p>
        </w:tc>
        <w:tc>
          <w:tcPr>
            <w:tcW w:w="1376" w:type="dxa"/>
            <w:vAlign w:val="center"/>
          </w:tcPr>
          <w:p>
            <w:pPr>
              <w:widowControl/>
              <w:jc w:val="right"/>
              <w:rPr>
                <w:szCs w:val="21"/>
              </w:rPr>
            </w:pPr>
            <w:r>
              <w:rPr>
                <w:szCs w:val="21"/>
              </w:rPr>
              <w:t xml:space="preserve">279.15 </w:t>
            </w:r>
          </w:p>
        </w:tc>
        <w:tc>
          <w:tcPr>
            <w:tcW w:w="1094" w:type="dxa"/>
            <w:noWrap/>
            <w:vAlign w:val="center"/>
          </w:tcPr>
          <w:p>
            <w:pPr>
              <w:widowControl/>
              <w:jc w:val="right"/>
              <w:rPr>
                <w:szCs w:val="21"/>
              </w:rPr>
            </w:pPr>
            <w:r>
              <w:rPr>
                <w:szCs w:val="21"/>
              </w:rPr>
              <w:t xml:space="preserve">279.15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2019年职业教育支出资金</w:t>
            </w:r>
          </w:p>
        </w:tc>
        <w:tc>
          <w:tcPr>
            <w:tcW w:w="775" w:type="pct"/>
            <w:noWrap/>
            <w:vAlign w:val="center"/>
          </w:tcPr>
          <w:p>
            <w:pPr>
              <w:widowControl/>
              <w:jc w:val="right"/>
            </w:pPr>
          </w:p>
        </w:tc>
        <w:tc>
          <w:tcPr>
            <w:tcW w:w="1376" w:type="dxa"/>
            <w:vAlign w:val="bottom"/>
          </w:tcPr>
          <w:p>
            <w:pPr>
              <w:widowControl/>
              <w:jc w:val="right"/>
              <w:rPr>
                <w:szCs w:val="21"/>
              </w:rPr>
            </w:pPr>
            <w:r>
              <w:rPr>
                <w:szCs w:val="21"/>
              </w:rPr>
              <w:t xml:space="preserve">100.00 </w:t>
            </w:r>
          </w:p>
        </w:tc>
        <w:tc>
          <w:tcPr>
            <w:tcW w:w="1094" w:type="dxa"/>
            <w:noWrap/>
            <w:vAlign w:val="center"/>
          </w:tcPr>
          <w:p>
            <w:pPr>
              <w:widowControl/>
              <w:jc w:val="right"/>
              <w:rPr>
                <w:szCs w:val="21"/>
              </w:rPr>
            </w:pPr>
            <w:r>
              <w:rPr>
                <w:szCs w:val="21"/>
              </w:rPr>
              <w:t xml:space="preserve">100.00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2020</w:t>
            </w:r>
            <w:r>
              <w:rPr>
                <w:rFonts w:hint="eastAsia" w:ascii="宋体" w:hAnsi="宋体" w:cs="宋体"/>
                <w:szCs w:val="21"/>
              </w:rPr>
              <w:t>年全省学校防控新型冠状病毒疫情补助经费</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10.00 </w:t>
            </w:r>
          </w:p>
        </w:tc>
        <w:tc>
          <w:tcPr>
            <w:tcW w:w="1094" w:type="dxa"/>
            <w:noWrap/>
            <w:vAlign w:val="center"/>
          </w:tcPr>
          <w:p>
            <w:pPr>
              <w:widowControl/>
              <w:jc w:val="right"/>
              <w:rPr>
                <w:szCs w:val="21"/>
              </w:rPr>
            </w:pPr>
            <w:r>
              <w:rPr>
                <w:szCs w:val="21"/>
              </w:rPr>
              <w:t xml:space="preserve">10.00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提前下达2020年省属学校改善中职学校办学条件</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390.00 </w:t>
            </w:r>
          </w:p>
        </w:tc>
        <w:tc>
          <w:tcPr>
            <w:tcW w:w="1094" w:type="dxa"/>
            <w:noWrap/>
            <w:vAlign w:val="center"/>
          </w:tcPr>
          <w:p>
            <w:pPr>
              <w:widowControl/>
              <w:jc w:val="right"/>
              <w:rPr>
                <w:szCs w:val="21"/>
              </w:rPr>
            </w:pPr>
            <w:r>
              <w:rPr>
                <w:szCs w:val="21"/>
              </w:rPr>
              <w:t xml:space="preserve">390.00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hint="eastAsia" w:ascii="宋体" w:hAnsi="宋体" w:cs="宋体"/>
                <w:szCs w:val="21"/>
              </w:rPr>
              <w:t>工量具、仪器仪表</w:t>
            </w:r>
          </w:p>
        </w:tc>
        <w:tc>
          <w:tcPr>
            <w:tcW w:w="1321" w:type="dxa"/>
            <w:noWrap/>
            <w:vAlign w:val="bottom"/>
          </w:tcPr>
          <w:p>
            <w:pPr>
              <w:widowControl/>
              <w:jc w:val="right"/>
              <w:rPr>
                <w:szCs w:val="21"/>
              </w:rPr>
            </w:pPr>
            <w:r>
              <w:rPr>
                <w:szCs w:val="21"/>
              </w:rPr>
              <w:t xml:space="preserve">143.93 </w:t>
            </w:r>
          </w:p>
        </w:tc>
        <w:tc>
          <w:tcPr>
            <w:tcW w:w="1376" w:type="dxa"/>
            <w:vAlign w:val="bottom"/>
          </w:tcPr>
          <w:p>
            <w:pPr>
              <w:widowControl/>
              <w:jc w:val="right"/>
              <w:rPr>
                <w:szCs w:val="21"/>
              </w:rPr>
            </w:pPr>
            <w:r>
              <w:rPr>
                <w:szCs w:val="21"/>
              </w:rPr>
              <w:t xml:space="preserve">143.93 </w:t>
            </w:r>
          </w:p>
        </w:tc>
        <w:tc>
          <w:tcPr>
            <w:tcW w:w="1094" w:type="dxa"/>
            <w:noWrap/>
            <w:vAlign w:val="center"/>
          </w:tcPr>
          <w:p>
            <w:pPr>
              <w:widowControl/>
              <w:jc w:val="right"/>
              <w:rPr>
                <w:szCs w:val="21"/>
              </w:rPr>
            </w:pPr>
            <w:r>
              <w:rPr>
                <w:szCs w:val="21"/>
              </w:rPr>
              <w:t xml:space="preserve">143.93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hint="eastAsia" w:ascii="宋体" w:hAnsi="宋体" w:cs="宋体"/>
                <w:szCs w:val="21"/>
              </w:rPr>
              <w:t>信息化设备</w:t>
            </w:r>
          </w:p>
        </w:tc>
        <w:tc>
          <w:tcPr>
            <w:tcW w:w="1321" w:type="dxa"/>
            <w:noWrap/>
            <w:vAlign w:val="bottom"/>
          </w:tcPr>
          <w:p>
            <w:pPr>
              <w:widowControl/>
              <w:jc w:val="right"/>
              <w:rPr>
                <w:szCs w:val="21"/>
              </w:rPr>
            </w:pPr>
            <w:r>
              <w:rPr>
                <w:szCs w:val="21"/>
              </w:rPr>
              <w:t xml:space="preserve">50.00 </w:t>
            </w:r>
          </w:p>
        </w:tc>
        <w:tc>
          <w:tcPr>
            <w:tcW w:w="1376" w:type="dxa"/>
            <w:vAlign w:val="bottom"/>
          </w:tcPr>
          <w:p>
            <w:pPr>
              <w:widowControl/>
              <w:jc w:val="right"/>
              <w:rPr>
                <w:szCs w:val="21"/>
              </w:rPr>
            </w:pPr>
            <w:r>
              <w:rPr>
                <w:szCs w:val="21"/>
              </w:rPr>
              <w:t xml:space="preserve">50.00 </w:t>
            </w:r>
          </w:p>
        </w:tc>
        <w:tc>
          <w:tcPr>
            <w:tcW w:w="1094" w:type="dxa"/>
            <w:noWrap/>
            <w:vAlign w:val="center"/>
          </w:tcPr>
          <w:p>
            <w:pPr>
              <w:widowControl/>
              <w:jc w:val="right"/>
              <w:rPr>
                <w:szCs w:val="21"/>
              </w:rPr>
            </w:pPr>
            <w:r>
              <w:rPr>
                <w:szCs w:val="21"/>
              </w:rPr>
              <w:t xml:space="preserve">50.00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提前下达2020年学生资助省级补助资金</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148.27 </w:t>
            </w:r>
          </w:p>
        </w:tc>
        <w:tc>
          <w:tcPr>
            <w:tcW w:w="1094" w:type="dxa"/>
            <w:noWrap/>
            <w:vAlign w:val="center"/>
          </w:tcPr>
          <w:p>
            <w:pPr>
              <w:widowControl/>
              <w:jc w:val="right"/>
              <w:rPr>
                <w:szCs w:val="21"/>
              </w:rPr>
            </w:pPr>
            <w:r>
              <w:rPr>
                <w:szCs w:val="21"/>
              </w:rPr>
              <w:t xml:space="preserve">148.27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就业补助专项（省级）</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221.92 </w:t>
            </w:r>
          </w:p>
        </w:tc>
        <w:tc>
          <w:tcPr>
            <w:tcW w:w="1094" w:type="dxa"/>
            <w:noWrap/>
            <w:vAlign w:val="center"/>
          </w:tcPr>
          <w:p>
            <w:pPr>
              <w:widowControl/>
              <w:jc w:val="right"/>
              <w:rPr>
                <w:szCs w:val="21"/>
              </w:rPr>
            </w:pPr>
            <w:r>
              <w:rPr>
                <w:szCs w:val="21"/>
              </w:rPr>
              <w:t xml:space="preserve">221.92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免学费</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183.16 </w:t>
            </w:r>
          </w:p>
        </w:tc>
        <w:tc>
          <w:tcPr>
            <w:tcW w:w="1094" w:type="dxa"/>
            <w:noWrap/>
            <w:vAlign w:val="center"/>
          </w:tcPr>
          <w:p>
            <w:pPr>
              <w:widowControl/>
              <w:jc w:val="right"/>
              <w:rPr>
                <w:szCs w:val="21"/>
              </w:rPr>
            </w:pPr>
            <w:r>
              <w:rPr>
                <w:szCs w:val="21"/>
              </w:rPr>
              <w:t xml:space="preserve">183.16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奖助学金</w:t>
            </w:r>
          </w:p>
        </w:tc>
        <w:tc>
          <w:tcPr>
            <w:tcW w:w="775" w:type="pct"/>
            <w:noWrap/>
            <w:vAlign w:val="center"/>
          </w:tcPr>
          <w:p>
            <w:pPr>
              <w:widowControl/>
              <w:jc w:val="right"/>
              <w:rPr>
                <w:b/>
                <w:bCs/>
              </w:rPr>
            </w:pPr>
          </w:p>
        </w:tc>
        <w:tc>
          <w:tcPr>
            <w:tcW w:w="807" w:type="pct"/>
            <w:vAlign w:val="center"/>
          </w:tcPr>
          <w:p>
            <w:pPr>
              <w:widowControl/>
              <w:jc w:val="right"/>
              <w:rPr>
                <w:szCs w:val="21"/>
              </w:rPr>
            </w:pPr>
            <w:r>
              <w:rPr>
                <w:szCs w:val="21"/>
              </w:rPr>
              <w:t>18.33</w:t>
            </w:r>
          </w:p>
        </w:tc>
        <w:tc>
          <w:tcPr>
            <w:tcW w:w="1094" w:type="dxa"/>
            <w:noWrap/>
            <w:vAlign w:val="center"/>
          </w:tcPr>
          <w:p>
            <w:pPr>
              <w:widowControl/>
              <w:jc w:val="right"/>
              <w:rPr>
                <w:szCs w:val="21"/>
              </w:rPr>
            </w:pPr>
            <w:r>
              <w:rPr>
                <w:szCs w:val="21"/>
              </w:rPr>
              <w:t xml:space="preserve">18.33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hint="eastAsia" w:ascii="宋体" w:hAnsi="宋体" w:cs="宋体"/>
                <w:b/>
                <w:bCs/>
                <w:szCs w:val="21"/>
              </w:rPr>
              <w:t>合计</w:t>
            </w:r>
          </w:p>
        </w:tc>
        <w:tc>
          <w:tcPr>
            <w:tcW w:w="775" w:type="pct"/>
            <w:noWrap/>
            <w:vAlign w:val="center"/>
          </w:tcPr>
          <w:p>
            <w:pPr>
              <w:widowControl/>
              <w:jc w:val="right"/>
              <w:rPr>
                <w:b/>
                <w:bCs/>
              </w:rPr>
            </w:pPr>
            <w:r>
              <w:rPr>
                <w:rFonts w:hint="eastAsia"/>
                <w:b/>
                <w:bCs/>
              </w:rPr>
              <w:t>193.93</w:t>
            </w:r>
          </w:p>
        </w:tc>
        <w:tc>
          <w:tcPr>
            <w:tcW w:w="1375" w:type="dxa"/>
            <w:vAlign w:val="bottom"/>
          </w:tcPr>
          <w:p>
            <w:pPr>
              <w:widowControl/>
              <w:jc w:val="right"/>
              <w:rPr>
                <w:b/>
                <w:bCs/>
                <w:szCs w:val="21"/>
              </w:rPr>
            </w:pPr>
            <w:r>
              <w:rPr>
                <w:b/>
                <w:bCs/>
                <w:szCs w:val="21"/>
              </w:rPr>
              <w:t xml:space="preserve">3,969.65 </w:t>
            </w:r>
          </w:p>
        </w:tc>
        <w:tc>
          <w:tcPr>
            <w:tcW w:w="1094" w:type="dxa"/>
            <w:noWrap/>
            <w:vAlign w:val="bottom"/>
          </w:tcPr>
          <w:p>
            <w:pPr>
              <w:widowControl/>
              <w:jc w:val="right"/>
              <w:rPr>
                <w:b/>
                <w:bCs/>
                <w:szCs w:val="21"/>
              </w:rPr>
            </w:pPr>
            <w:r>
              <w:rPr>
                <w:b/>
                <w:bCs/>
                <w:szCs w:val="21"/>
              </w:rPr>
              <w:t xml:space="preserve">2,927.48 </w:t>
            </w:r>
          </w:p>
        </w:tc>
      </w:tr>
    </w:tbl>
    <w:p>
      <w:pPr>
        <w:pStyle w:val="8"/>
        <w:ind w:left="0" w:leftChars="0" w:firstLine="562"/>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三、政府性基金预算支出情况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无。</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四、国有资本经营预算支出情况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无。</w:t>
      </w:r>
    </w:p>
    <w:p>
      <w:pPr>
        <w:ind w:firstLine="560" w:firstLineChars="200"/>
        <w:rPr>
          <w:rFonts w:hint="eastAsia" w:asciiTheme="majorEastAsia" w:hAnsiTheme="majorEastAsia" w:eastAsiaTheme="majorEastAsia" w:cstheme="majorEastAsia"/>
          <w:b/>
          <w:bCs/>
          <w:sz w:val="28"/>
          <w:szCs w:val="36"/>
        </w:rPr>
      </w:pP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五、社会保险基金预算支出情况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无。</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六、部门整体支出绩效情况</w:t>
      </w:r>
    </w:p>
    <w:p>
      <w:pPr>
        <w:pStyle w:val="2"/>
        <w:spacing w:after="0" w:line="560" w:lineRule="exact"/>
        <w:ind w:firstLine="560" w:firstLineChars="200"/>
        <w:rPr>
          <w:rFonts w:eastAsia="宋体" w:asciiTheme="minorEastAsia" w:hAnsiTheme="minorEastAsia" w:cstheme="minorEastAsia"/>
          <w:b/>
          <w:bCs/>
          <w:sz w:val="28"/>
          <w:szCs w:val="28"/>
        </w:rPr>
      </w:pPr>
      <w:r>
        <w:rPr>
          <w:rFonts w:hint="eastAsia" w:eastAsia="宋体" w:asciiTheme="minorEastAsia" w:hAnsiTheme="minorEastAsia" w:cstheme="minorEastAsia"/>
          <w:b/>
          <w:bCs/>
          <w:sz w:val="28"/>
          <w:szCs w:val="28"/>
        </w:rPr>
        <w:t>（一）全面推进一体化教学改革</w:t>
      </w:r>
    </w:p>
    <w:p>
      <w:pPr>
        <w:pStyle w:val="2"/>
        <w:spacing w:after="0"/>
        <w:ind w:firstLine="590"/>
        <w:rPr>
          <w:rFonts w:eastAsia="宋体" w:asciiTheme="minorEastAsia" w:hAnsiTheme="minorEastAsia" w:cstheme="minorEastAsia"/>
          <w:sz w:val="28"/>
          <w:szCs w:val="28"/>
        </w:rPr>
      </w:pPr>
      <w:r>
        <w:rPr>
          <w:rFonts w:hint="eastAsia" w:asciiTheme="majorEastAsia" w:hAnsiTheme="majorEastAsia" w:eastAsiaTheme="majorEastAsia" w:cstheme="majorEastAsia"/>
          <w:sz w:val="28"/>
          <w:szCs w:val="36"/>
        </w:rPr>
        <w:t>汽车学院2</w:t>
      </w:r>
      <w:r>
        <w:rPr>
          <w:rFonts w:hint="eastAsia" w:eastAsia="宋体" w:asciiTheme="minorEastAsia" w:hAnsiTheme="minorEastAsia" w:cstheme="minorEastAsia"/>
          <w:sz w:val="28"/>
          <w:szCs w:val="28"/>
        </w:rPr>
        <w:t>020级设立了模具设计与制造专业、数控加工（数铣）专业、电气自动化专业、汽车维修专业四个一体化教学改革试点专业，各试点专业制定了人才培养方案，并在教材编制、课题研究、发明专利及论文发表等方面取得了一定成绩。</w:t>
      </w:r>
    </w:p>
    <w:p>
      <w:pPr>
        <w:pStyle w:val="2"/>
        <w:spacing w:after="0"/>
        <w:ind w:firstLine="590"/>
        <w:rPr>
          <w:rFonts w:eastAsia="宋体" w:asciiTheme="minorEastAsia" w:hAnsiTheme="minorEastAsia" w:cstheme="minorEastAsia"/>
          <w:b/>
          <w:bCs/>
          <w:sz w:val="28"/>
          <w:szCs w:val="28"/>
        </w:rPr>
      </w:pPr>
      <w:r>
        <w:rPr>
          <w:rFonts w:hint="eastAsia" w:eastAsia="宋体" w:asciiTheme="minorEastAsia" w:hAnsiTheme="minorEastAsia" w:cstheme="minorEastAsia"/>
          <w:b/>
          <w:bCs/>
          <w:sz w:val="28"/>
          <w:szCs w:val="28"/>
        </w:rPr>
        <w:t>（二）进一步推进长沙新校区建设</w:t>
      </w:r>
    </w:p>
    <w:p>
      <w:pPr>
        <w:ind w:firstLine="560" w:firstLineChars="200"/>
        <w:rPr>
          <w:rFonts w:hint="eastAsia" w:asciiTheme="minorEastAsia" w:hAnsiTheme="minorEastAsia" w:cstheme="minorEastAsia"/>
          <w:sz w:val="28"/>
          <w:szCs w:val="28"/>
        </w:rPr>
      </w:pPr>
      <w:r>
        <w:rPr>
          <w:rFonts w:hint="eastAsia" w:asciiTheme="majorEastAsia" w:hAnsiTheme="majorEastAsia" w:eastAsiaTheme="majorEastAsia" w:cstheme="majorEastAsia"/>
          <w:sz w:val="28"/>
          <w:szCs w:val="36"/>
        </w:rPr>
        <w:t>2</w:t>
      </w:r>
      <w:r>
        <w:rPr>
          <w:rFonts w:hint="eastAsia" w:asciiTheme="minorEastAsia" w:hAnsiTheme="minorEastAsia" w:cstheme="minorEastAsia"/>
          <w:sz w:val="28"/>
          <w:szCs w:val="28"/>
        </w:rPr>
        <w:t>020年3月，多位省政府领导均在省工信厅呈报的《关于湖南省汽车技师学院与蓝思科技股份有限公司共同筹建混合所有制长沙新校区的请示》上作出肯定性批示，全力支持探索混合所有制办学模式。</w:t>
      </w:r>
    </w:p>
    <w:p>
      <w:pPr>
        <w:ind w:firstLine="560" w:firstLineChars="200"/>
        <w:rPr>
          <w:rFonts w:asciiTheme="majorEastAsia" w:hAnsiTheme="majorEastAsia" w:eastAsiaTheme="majorEastAsia" w:cstheme="majorEastAsia"/>
          <w:sz w:val="28"/>
          <w:szCs w:val="36"/>
        </w:rPr>
      </w:pPr>
      <w:r>
        <w:rPr>
          <w:rFonts w:hint="eastAsia" w:asciiTheme="minorEastAsia" w:hAnsiTheme="minorEastAsia" w:cstheme="minorEastAsia"/>
          <w:sz w:val="28"/>
          <w:szCs w:val="28"/>
          <w:lang w:val="en-US" w:eastAsia="zh-CN"/>
        </w:rPr>
        <w:t>汽车学院联合湖南省工业和信息化厅各职能处室成立了长沙校区筹建工作领导小组，并联合蓝思科技股份有限公司及浏阳经开区成立了筹建工作协调组和项目建设办公室。长沙校区第一期330亩建设用地中已完成征拆210亩。</w:t>
      </w:r>
    </w:p>
    <w:p>
      <w:pPr>
        <w:pStyle w:val="2"/>
        <w:spacing w:after="0"/>
        <w:ind w:firstLine="590"/>
        <w:rPr>
          <w:rFonts w:eastAsia="宋体" w:asciiTheme="minorEastAsia" w:hAnsiTheme="minorEastAsia" w:cstheme="minorEastAsia"/>
          <w:b/>
          <w:bCs/>
          <w:sz w:val="28"/>
          <w:szCs w:val="28"/>
        </w:rPr>
      </w:pPr>
      <w:r>
        <w:rPr>
          <w:rFonts w:hint="eastAsia" w:eastAsia="宋体" w:asciiTheme="minorEastAsia" w:hAnsiTheme="minorEastAsia" w:cstheme="minorEastAsia"/>
          <w:b/>
          <w:bCs/>
          <w:sz w:val="28"/>
          <w:szCs w:val="28"/>
        </w:rPr>
        <w:t>（三）全面深化校企合作，产教融合</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2020年汽车学院共有美术设计、旅游与酒店管理、电子商务、动画制作、多媒体制作、机器人、计网等12个班级进行校企合作教学模式，学校与合作企业共同制定学生培训、实习期间的教学计划、管理制度和考核办法，指导学生培训、实习活动的开展，将学生专业学习与实际工作需求相结合，提高学生就业竞争力。</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（四）全面推进军事化管理</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2020年选拨和组织了部分学生到沅江准军事化管理基地培训，组建起学校首支学生教官，并担任新生军训教官，培养了准军事化管理的后备力量。为推进准军事化管理，先后出台了《湖南省汽车技师学院准军事化管理工作条例》等9个文件，明确了学工部、系部、班主任、教官各自的工作职责和任务，提高了工作效率。</w:t>
      </w:r>
    </w:p>
    <w:p>
      <w:pPr>
        <w:pStyle w:val="2"/>
        <w:spacing w:after="0"/>
        <w:rPr>
          <w:rFonts w:eastAsiaTheme="majorEastAsia"/>
        </w:rPr>
      </w:pPr>
      <w:r>
        <w:rPr>
          <w:rFonts w:hint="eastAsia" w:asciiTheme="majorEastAsia" w:hAnsiTheme="majorEastAsia" w:eastAsiaTheme="majorEastAsia" w:cstheme="majorEastAsia"/>
          <w:sz w:val="28"/>
          <w:szCs w:val="36"/>
        </w:rPr>
        <w:t xml:space="preserve">    </w:t>
      </w:r>
      <w:r>
        <w:rPr>
          <w:rFonts w:hint="eastAsia" w:asciiTheme="majorEastAsia" w:hAnsiTheme="majorEastAsia" w:eastAsiaTheme="majorEastAsia" w:cstheme="majorEastAsia"/>
          <w:b/>
          <w:bCs/>
          <w:sz w:val="28"/>
          <w:szCs w:val="36"/>
        </w:rPr>
        <w:t>（五）落实“五创建设”工作，获得省级文明单位称号</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坚持以习近平新时代中国特色社会主义思想为指导，积极培训和践行社会主义核心价值观，深化拓展群众性精神文明创建，着力提升社会文明风尚，汽车学院获得2020届湖南省文明校园称号。</w:t>
      </w:r>
    </w:p>
    <w:p>
      <w:pPr>
        <w:pStyle w:val="2"/>
        <w:spacing w:after="0"/>
      </w:pPr>
      <w:r>
        <w:rPr>
          <w:rFonts w:hint="eastAsia" w:asciiTheme="majorEastAsia" w:hAnsiTheme="majorEastAsia" w:eastAsiaTheme="majorEastAsia" w:cstheme="majorEastAsia"/>
          <w:sz w:val="28"/>
          <w:szCs w:val="36"/>
        </w:rPr>
        <w:t xml:space="preserve">    </w:t>
      </w:r>
      <w:r>
        <w:rPr>
          <w:rFonts w:hint="eastAsia" w:asciiTheme="majorEastAsia" w:hAnsiTheme="majorEastAsia" w:eastAsiaTheme="majorEastAsia" w:cstheme="majorEastAsia"/>
          <w:b/>
          <w:bCs/>
          <w:sz w:val="28"/>
          <w:szCs w:val="36"/>
        </w:rPr>
        <w:t>（六）提升教育教学质量，保障学校招生人数及毕业生就业率</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为全面提高人才培养质量，实现“职业素养+职业能力+学习力”三维培养目标，学院全力推进教师、教材、教法“三教”三个层面改革，组织召开各类教研教改研讨会、评审会。2020年度汽车学院招收新生1762人，超额完成目标任务1500人。2020级毕业生人数合计为1184人，就业人数1166人，就业率为98.48%。</w:t>
      </w:r>
    </w:p>
    <w:p>
      <w:pPr>
        <w:numPr>
          <w:ilvl w:val="0"/>
          <w:numId w:val="4"/>
        </w:num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存在的问题及原因分析</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(一）预算执行率偏低</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sz w:val="28"/>
          <w:szCs w:val="36"/>
        </w:rPr>
        <w:t>汽车学院项目支出-其他事业发展类资金2020年项目支出全年预算总额为3,765.72万元，全年执行数为2,723.55万元，执行率为72.32%。主要原因为公办中职学生生均拨款973万元指标于2020年12月29日下达。</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（二）公用经费未严格按照预算执行</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湖南省工业和信息化厅关于所属预算单位2020年部门预算的批复》（湘工信财务[2020]98号）批复汽车学院2020年公用经费年初预算为1,046.02万元；汽车学院2020年公用经费决算数为1,179.32万元，公用经费控制率为112.74%。</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（三）财务管理不规范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1、发票不规范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2020年3月17#凭证，报销比赛费用6,187.00元，附件中共有660.00元油费发票购买方为湘E69L9和个人（发票号73149521、65788998、65788309）；2020年7月160#凭证，肖振兴报探亲假路费10,654.00元，附件中有260.00元油费发票购买方名称为湘E0958或个人（发票号04712744、13957812、65665838）。</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2、发票跨期入账</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2020年1月51#凭证，万媛报中小企业培训等费用9,127.00元，附件中有300.00元（发票号13444384）开票日期为2019年10月1日、200.00元（发票号01945090）开票日期为2019年9月29日；2020年7月160#凭证，肖振兴报探亲假路费10,654.00元，附件中有200.00元（发票号65477499）开票日期为2019年12月29日。</w:t>
      </w:r>
    </w:p>
    <w:p>
      <w:pPr>
        <w:numPr>
          <w:ilvl w:val="0"/>
          <w:numId w:val="5"/>
        </w:numPr>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原始凭证与报销事项不符</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2020年7月93#凭证，报销过路费807.93元（2020年6月30日-2020年7月3日自驾车接送领导），附件中有：335.94元通行费电子票据通行日期为2020年5月26日-2020年5月27日，239.69元通行费电子票据通行日期为2020年6月18日-2020年6月19日，83.60元通行费电子票据通行日期起止为2020年5月30日。上述票据通行时间不在此次出差时间范围内。</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(四）项目管理不规范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1、工程先开工后执行招采流程</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0.4kv配电工程于2019年10月29日进行竞争性谈判，2019年11月7日汽车学院与湖南泸变电力技术有限公司签订《湖南省建设工程施工合同（院内0.4kv配电工程）》，2019年11月12日汽车学院组织竣工验收，验收报告中部门意见为：“该工程于2019年暑假完成全部施工，竣工投入使用以来历时二月有余，目前使用情况良好，认为符合验收条件，同意验收”，项目先开工后履行招采流程。</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2、采购货物未按时交货</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2019年12月5日，汽车学院与湖南宇力科技有限公司签订《政府采购合同协议书》，采购项目名称为：工卡量具仪器仪表，合同约定交货时间为合同签订后10日内，《政府采购验收单》入库验收日期为2020年6月2日，未按合同约定日期送货。</w:t>
      </w:r>
    </w:p>
    <w:p>
      <w:pPr>
        <w:ind w:left="63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3、工程未按合同约定及时竣工</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2019年11月15日，汽车学院与湖南林怡建设工程有限公司签订《政府采购合同协议书》，项目内容为西南角提质改造工程，合同约定起始日期为2019年11月15日，完成日期为2019年12月30日，《建设工程竣工验收单》验收日期2020年8月25日，未按合同约定及时竣工。</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（五）合同管理不规范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1、合同要素不全</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如：2019年11月11日，汽车学院与长沙耀联计算机有限公司签订了《政府采购合同》，合同履约时间为空白，合同要素不全。</w:t>
      </w:r>
    </w:p>
    <w:p>
      <w:pPr>
        <w:numPr>
          <w:ilvl w:val="0"/>
          <w:numId w:val="6"/>
        </w:num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工程款未按合同约定方式支付</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2019年11月15日，汽车学院与湖南林怡建设工程有限公司签订《政府采购合同协议书》，项目内容为西南角提质改造工程，</w:t>
      </w:r>
      <w:r>
        <w:rPr>
          <w:rFonts w:hint="eastAsia" w:asciiTheme="majorEastAsia" w:hAnsiTheme="majorEastAsia" w:eastAsiaTheme="majorEastAsia" w:cstheme="majorEastAsia"/>
          <w:sz w:val="28"/>
          <w:szCs w:val="36"/>
          <w:lang w:val="en-US" w:eastAsia="zh-CN"/>
        </w:rPr>
        <w:t>合同金额123.13万元，</w:t>
      </w:r>
      <w:r>
        <w:rPr>
          <w:rFonts w:hint="eastAsia" w:asciiTheme="majorEastAsia" w:hAnsiTheme="majorEastAsia" w:eastAsiaTheme="majorEastAsia" w:cstheme="majorEastAsia"/>
          <w:sz w:val="28"/>
          <w:szCs w:val="36"/>
        </w:rPr>
        <w:t>合同约定付款方式为：“工程整体完工，经甲方及参</w:t>
      </w:r>
      <w:r>
        <w:rPr>
          <w:rFonts w:hint="eastAsia" w:asciiTheme="majorEastAsia" w:hAnsiTheme="majorEastAsia" w:eastAsiaTheme="majorEastAsia" w:cstheme="majorEastAsia"/>
          <w:sz w:val="28"/>
          <w:szCs w:val="36"/>
          <w:lang w:val="en-US" w:eastAsia="zh-CN"/>
        </w:rPr>
        <w:t>建</w:t>
      </w:r>
      <w:r>
        <w:rPr>
          <w:rFonts w:hint="eastAsia" w:asciiTheme="majorEastAsia" w:hAnsiTheme="majorEastAsia" w:eastAsiaTheme="majorEastAsia" w:cstheme="majorEastAsia"/>
          <w:sz w:val="28"/>
          <w:szCs w:val="36"/>
        </w:rPr>
        <w:t>单位进行初步验收合格后，支付75%工程款；审计结算后支付至97%，剩余3%作为质保金，质保期满后支付”。经检查2020-1-136#凭证，2020年1月20日支付第一笔工程款49万元，凭证附件无完工报告及验收报告。另存档的验收报告日期为2020年8月25日，未经初步验收便支付工程款，与合同约定支付方式不一致。</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b/>
          <w:bCs/>
          <w:sz w:val="28"/>
          <w:szCs w:val="36"/>
        </w:rPr>
        <w:t>（六）助学金发放不及时</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根据邵阳市人力资源社会保障局统计，汽车学院2020年春季应享受国家助学金总人数为1803人，2020年秋季应享受国家助学金总人数为2265人。经查询相关凭证，截至2020年12月31日，春季助学金实际发放1546人，秋季助学金实际发放643人。</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八、下一步改进措施</w:t>
      </w:r>
    </w:p>
    <w:p>
      <w:pPr>
        <w:ind w:firstLine="562"/>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（一）规范预算管理，加强经费控制</w:t>
      </w:r>
    </w:p>
    <w:p>
      <w:pPr>
        <w:ind w:firstLine="562"/>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强化并积极推动预算制度的建设，使预算管理流程更加合理化、规范化、科学化，进而详细对各项资金进行预算和管理，财务部门核实各职能部门年度总额度再将其细化到各项目，全面掌握资金的使用情况，依据现有的资金进行科学的预算，有效提高预算结果的真实性和科学性。注重依据预算管理制度和实际情况切实做好年度预算工作，加快预算管理制度的建设，从而提高预算管理效率，达到有效控制经费的目的。</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w:t>
      </w:r>
      <w:r>
        <w:rPr>
          <w:rFonts w:asciiTheme="majorEastAsia" w:hAnsiTheme="majorEastAsia" w:eastAsiaTheme="majorEastAsia" w:cstheme="majorEastAsia"/>
          <w:b/>
          <w:bCs/>
          <w:sz w:val="28"/>
          <w:szCs w:val="36"/>
        </w:rPr>
        <w:t>建立健全财务管理制度，规范工作流程</w:t>
      </w:r>
    </w:p>
    <w:p>
      <w:pPr>
        <w:pStyle w:val="2"/>
        <w:spacing w:after="0"/>
        <w:ind w:firstLine="560" w:firstLineChars="200"/>
        <w:rPr>
          <w:rFonts w:asciiTheme="majorEastAsia" w:hAnsiTheme="majorEastAsia" w:eastAsiaTheme="majorEastAsia" w:cstheme="majorEastAsia"/>
          <w:sz w:val="28"/>
          <w:szCs w:val="36"/>
        </w:rPr>
      </w:pPr>
      <w:r>
        <w:rPr>
          <w:rFonts w:asciiTheme="majorEastAsia" w:hAnsiTheme="majorEastAsia" w:eastAsiaTheme="majorEastAsia" w:cstheme="majorEastAsia"/>
          <w:sz w:val="28"/>
          <w:szCs w:val="36"/>
        </w:rPr>
        <w:t>结合单位实际建立健全完善的财务管理制度。首先，对核算步骤进行规范，对票据和原始凭证进行规范，严格要求财务人员需依据标准的流程进行核算工作；其次，在确定预算管理范围的基础上，全面监督和管理财务审批流程，深入落实完善财务管理制度，促使各个部门以及财务人员明确财务审批要求和审批流程，清楚财务制度的具体内容。</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（三）加强采购管理，规范采购流程</w:t>
      </w:r>
    </w:p>
    <w:p>
      <w:pPr>
        <w:pStyle w:val="2"/>
        <w:spacing w:after="0"/>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严格按照《中华人民共和国招投标法》、《湖南省政府采购非招标采购方式管理办法实施细则》等采购制度的规定，根据项目特性选择合适的采购方式，规范采购过程，加强采购管理，严格遵守招投标程序，避免先开工后招采的情况。</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（四）加强合同审核、规范合同管理要求</w:t>
      </w:r>
    </w:p>
    <w:p>
      <w:pPr>
        <w:pStyle w:val="2"/>
        <w:spacing w:after="0"/>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严格按照相关法律法规签订合同，合同签字的同时签署日期，对合同签订过程中未严格按规定签订的合同，及时通知相关部门进行整改，确保手续和合同内容合法合规，严格实行对合同签订的全过程管理。</w:t>
      </w:r>
    </w:p>
    <w:p>
      <w:pPr>
        <w:numPr>
          <w:ilvl w:val="0"/>
          <w:numId w:val="7"/>
        </w:num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绩效自评结果拟应用和公开情况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绩效自评结果拟纳入学校年度目标考核，并根据财政部门的统一要求在湖南省汽车技师学院预决算公开栏予以公开。</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44111"/>
    <w:multiLevelType w:val="singleLevel"/>
    <w:tmpl w:val="82C44111"/>
    <w:lvl w:ilvl="0" w:tentative="0">
      <w:start w:val="2"/>
      <w:numFmt w:val="decimal"/>
      <w:suff w:val="nothing"/>
      <w:lvlText w:val="%1、"/>
      <w:lvlJc w:val="left"/>
      <w:pPr>
        <w:ind w:left="630" w:firstLine="0"/>
      </w:pPr>
    </w:lvl>
  </w:abstractNum>
  <w:abstractNum w:abstractNumId="1">
    <w:nsid w:val="96DD9194"/>
    <w:multiLevelType w:val="singleLevel"/>
    <w:tmpl w:val="96DD9194"/>
    <w:lvl w:ilvl="0" w:tentative="0">
      <w:start w:val="9"/>
      <w:numFmt w:val="chineseCounting"/>
      <w:suff w:val="nothing"/>
      <w:lvlText w:val="%1、"/>
      <w:lvlJc w:val="left"/>
      <w:rPr>
        <w:rFonts w:hint="eastAsia"/>
      </w:rPr>
    </w:lvl>
  </w:abstractNum>
  <w:abstractNum w:abstractNumId="2">
    <w:nsid w:val="18EBAB0C"/>
    <w:multiLevelType w:val="singleLevel"/>
    <w:tmpl w:val="18EBAB0C"/>
    <w:lvl w:ilvl="0" w:tentative="0">
      <w:start w:val="10"/>
      <w:numFmt w:val="chineseCounting"/>
      <w:suff w:val="nothing"/>
      <w:lvlText w:val="%1、"/>
      <w:lvlJc w:val="left"/>
      <w:rPr>
        <w:rFonts w:hint="eastAsia"/>
      </w:rPr>
    </w:lvl>
  </w:abstractNum>
  <w:abstractNum w:abstractNumId="3">
    <w:nsid w:val="3B53A3B4"/>
    <w:multiLevelType w:val="singleLevel"/>
    <w:tmpl w:val="3B53A3B4"/>
    <w:lvl w:ilvl="0" w:tentative="0">
      <w:start w:val="7"/>
      <w:numFmt w:val="chineseCounting"/>
      <w:suff w:val="nothing"/>
      <w:lvlText w:val="%1、"/>
      <w:lvlJc w:val="left"/>
      <w:rPr>
        <w:rFonts w:hint="eastAsia"/>
      </w:rPr>
    </w:lvl>
  </w:abstractNum>
  <w:abstractNum w:abstractNumId="4">
    <w:nsid w:val="57DDCD4A"/>
    <w:multiLevelType w:val="singleLevel"/>
    <w:tmpl w:val="57DDCD4A"/>
    <w:lvl w:ilvl="0" w:tentative="0">
      <w:start w:val="2"/>
      <w:numFmt w:val="decimal"/>
      <w:suff w:val="nothing"/>
      <w:lvlText w:val="%1、"/>
      <w:lvlJc w:val="left"/>
    </w:lvl>
  </w:abstractNum>
  <w:abstractNum w:abstractNumId="5">
    <w:nsid w:val="6C8C7721"/>
    <w:multiLevelType w:val="singleLevel"/>
    <w:tmpl w:val="6C8C7721"/>
    <w:lvl w:ilvl="0" w:tentative="0">
      <w:start w:val="2"/>
      <w:numFmt w:val="decimal"/>
      <w:suff w:val="nothing"/>
      <w:lvlText w:val="%1、"/>
      <w:lvlJc w:val="left"/>
    </w:lvl>
  </w:abstractNum>
  <w:abstractNum w:abstractNumId="6">
    <w:nsid w:val="7E0DF18E"/>
    <w:multiLevelType w:val="singleLevel"/>
    <w:tmpl w:val="7E0DF18E"/>
    <w:lvl w:ilvl="0" w:tentative="0">
      <w:start w:val="2"/>
      <w:numFmt w:val="chineseCounting"/>
      <w:suff w:val="nothing"/>
      <w:lvlText w:val="（%1）"/>
      <w:lvlJc w:val="left"/>
      <w:rPr>
        <w:rFonts w:hint="eastAsia"/>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54F345E"/>
    <w:rsid w:val="08E254A5"/>
    <w:rsid w:val="0F042756"/>
    <w:rsid w:val="11A414AE"/>
    <w:rsid w:val="12763236"/>
    <w:rsid w:val="17931697"/>
    <w:rsid w:val="185A30FB"/>
    <w:rsid w:val="1C9B5200"/>
    <w:rsid w:val="202D6F4E"/>
    <w:rsid w:val="22403C75"/>
    <w:rsid w:val="27F23A79"/>
    <w:rsid w:val="2A074114"/>
    <w:rsid w:val="30757891"/>
    <w:rsid w:val="324A50F5"/>
    <w:rsid w:val="3AF50FA7"/>
    <w:rsid w:val="3E38464E"/>
    <w:rsid w:val="49333EC1"/>
    <w:rsid w:val="4AB43DA4"/>
    <w:rsid w:val="4B587801"/>
    <w:rsid w:val="4D417708"/>
    <w:rsid w:val="6099495F"/>
    <w:rsid w:val="60A62DA5"/>
    <w:rsid w:val="637F2201"/>
    <w:rsid w:val="6C263CB1"/>
    <w:rsid w:val="6E7C6D9A"/>
    <w:rsid w:val="7A5E18F4"/>
    <w:rsid w:val="7F83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华文仿宋"/>
      <w:sz w:val="30"/>
    </w:rPr>
  </w:style>
  <w:style w:type="paragraph" w:styleId="3">
    <w:name w:val="Body Text Indent"/>
    <w:basedOn w:val="1"/>
    <w:unhideWhenUsed/>
    <w:qFormat/>
    <w:uiPriority w:val="0"/>
    <w:pPr>
      <w:ind w:left="420" w:leftChars="200"/>
    </w:pPr>
    <w:rPr>
      <w:rFonts w:hint="eastAsia"/>
      <w:sz w:val="21"/>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2"/>
    <w:basedOn w:val="3"/>
    <w:unhideWhenUsed/>
    <w:qFormat/>
    <w:uiPriority w:val="0"/>
    <w:pPr>
      <w:ind w:firstLine="420" w:firstLineChars="200"/>
    </w:pPr>
    <w:rPr>
      <w:rFonts w:hint="eastAsia"/>
      <w:sz w:val="21"/>
    </w:rPr>
  </w:style>
  <w:style w:type="character" w:styleId="11">
    <w:name w:val="Hyperlink"/>
    <w:basedOn w:val="10"/>
    <w:unhideWhenUsed/>
    <w:qFormat/>
    <w:uiPriority w:val="0"/>
    <w:rPr>
      <w:rFonts w:hint="default"/>
      <w:color w:val="0000FF"/>
      <w:sz w:val="24"/>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1300</Words>
  <Characters>7415</Characters>
  <Lines>61</Lines>
  <Paragraphs>17</Paragraphs>
  <TotalTime>5</TotalTime>
  <ScaleCrop>false</ScaleCrop>
  <LinksUpToDate>false</LinksUpToDate>
  <CharactersWithSpaces>8698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2021-08-05T08:54:00Z</cp:lastPrinted>
  <dcterms:modified xsi:type="dcterms:W3CDTF">2021-09-04T09:46:10Z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F1EE3402C4084510BADC2CB75FE3AF11</vt:lpwstr>
  </property>
</Properties>
</file>